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A9BD4" w14:textId="77777777" w:rsidR="00862C1F" w:rsidRPr="00A933F3" w:rsidRDefault="00862C1F" w:rsidP="00A933F3">
      <w:pPr>
        <w:pBdr>
          <w:top w:val="nil"/>
          <w:left w:val="nil"/>
          <w:bottom w:val="nil"/>
          <w:right w:val="nil"/>
          <w:between w:val="nil"/>
        </w:pBdr>
        <w:spacing w:after="240" w:line="275" w:lineRule="auto"/>
        <w:jc w:val="both"/>
        <w:rPr>
          <w:rFonts w:asciiTheme="majorHAnsi" w:hAnsiTheme="majorHAnsi" w:cstheme="majorHAnsi"/>
          <w:color w:val="000000"/>
        </w:rPr>
      </w:pPr>
    </w:p>
    <w:p w14:paraId="3F18D515" w14:textId="77777777" w:rsidR="00A933F3" w:rsidRDefault="00000000" w:rsidP="00A933F3">
      <w:pPr>
        <w:pStyle w:val="1"/>
        <w:spacing w:before="0" w:after="120" w:line="275" w:lineRule="auto"/>
        <w:jc w:val="both"/>
        <w:rPr>
          <w:rFonts w:asciiTheme="majorHAnsi" w:eastAsia="Google Sans" w:hAnsiTheme="majorHAnsi" w:cstheme="majorHAnsi"/>
          <w:color w:val="1B1C1D"/>
        </w:rPr>
      </w:pPr>
      <w:bookmarkStart w:id="0" w:name="_Toc210590035"/>
      <w:r w:rsidRPr="00A933F3">
        <w:rPr>
          <w:rFonts w:asciiTheme="majorHAnsi" w:eastAsia="Google Sans" w:hAnsiTheme="majorHAnsi" w:cstheme="majorHAnsi"/>
          <w:color w:val="1B1C1D"/>
        </w:rPr>
        <w:t>Стратегический анализ вызовов и возможностей для ядерной энергетической программы Сербии</w:t>
      </w:r>
      <w:bookmarkEnd w:id="0"/>
    </w:p>
    <w:p w14:paraId="333206B3" w14:textId="77777777" w:rsidR="00A933F3" w:rsidRDefault="00A933F3" w:rsidP="00A933F3"/>
    <w:p w14:paraId="740B6864" w14:textId="282EA7EE" w:rsidR="00A933F3" w:rsidRDefault="00A933F3" w:rsidP="00A933F3">
      <w:pPr>
        <w:rPr>
          <w:rFonts w:asciiTheme="majorHAnsi" w:hAnsiTheme="majorHAnsi" w:cstheme="majorHAnsi"/>
          <w:b/>
          <w:bCs/>
          <w:sz w:val="36"/>
          <w:szCs w:val="36"/>
          <w:lang w:val="ru-RU"/>
        </w:rPr>
      </w:pPr>
      <w:r w:rsidRPr="00A933F3">
        <w:rPr>
          <w:rFonts w:asciiTheme="majorHAnsi" w:hAnsiTheme="majorHAnsi" w:cstheme="majorHAnsi"/>
          <w:b/>
          <w:bCs/>
          <w:sz w:val="36"/>
          <w:szCs w:val="36"/>
          <w:lang w:val="ru-RU"/>
        </w:rPr>
        <w:t>Содержание</w:t>
      </w:r>
    </w:p>
    <w:p w14:paraId="1190B289" w14:textId="77777777" w:rsidR="00A933F3" w:rsidRDefault="00A933F3" w:rsidP="00A933F3">
      <w:pPr>
        <w:rPr>
          <w:rFonts w:asciiTheme="majorHAnsi" w:hAnsiTheme="majorHAnsi" w:cstheme="majorHAnsi"/>
          <w:b/>
          <w:bCs/>
          <w:sz w:val="36"/>
          <w:szCs w:val="36"/>
          <w:lang w:val="ru-RU"/>
        </w:rPr>
      </w:pPr>
    </w:p>
    <w:p w14:paraId="5269029E" w14:textId="77777777" w:rsidR="00A933F3" w:rsidRPr="00A933F3" w:rsidRDefault="00A933F3" w:rsidP="00A933F3">
      <w:pPr>
        <w:rPr>
          <w:rFonts w:asciiTheme="majorHAnsi" w:hAnsiTheme="majorHAnsi" w:cstheme="majorHAnsi"/>
          <w:b/>
          <w:bCs/>
          <w:sz w:val="36"/>
          <w:szCs w:val="36"/>
          <w:lang w:val="ru-RU"/>
        </w:rPr>
      </w:pPr>
    </w:p>
    <w:p w14:paraId="102DD484" w14:textId="245A0079" w:rsidR="00A933F3" w:rsidRDefault="00A933F3">
      <w:pPr>
        <w:pStyle w:val="10"/>
        <w:tabs>
          <w:tab w:val="right" w:leader="dot" w:pos="9350"/>
        </w:tabs>
        <w:rPr>
          <w:noProof/>
        </w:rPr>
      </w:pPr>
      <w:r>
        <w:fldChar w:fldCharType="begin"/>
      </w:r>
      <w:r>
        <w:instrText xml:space="preserve"> TOC \o "1-3" \h \z \u </w:instrText>
      </w:r>
      <w:r>
        <w:fldChar w:fldCharType="separate"/>
      </w:r>
      <w:hyperlink w:anchor="_Toc210590035" w:history="1">
        <w:r w:rsidRPr="008617B4">
          <w:rPr>
            <w:rStyle w:val="a6"/>
            <w:rFonts w:asciiTheme="majorHAnsi" w:eastAsia="Google Sans" w:hAnsiTheme="majorHAnsi" w:cstheme="majorHAnsi"/>
            <w:noProof/>
          </w:rPr>
          <w:t>Стратегический анализ вызовов и возможностей для ядерной энергетической программы Сербии</w:t>
        </w:r>
        <w:r>
          <w:rPr>
            <w:noProof/>
            <w:webHidden/>
          </w:rPr>
          <w:tab/>
        </w:r>
        <w:r>
          <w:rPr>
            <w:noProof/>
            <w:webHidden/>
          </w:rPr>
          <w:fldChar w:fldCharType="begin"/>
        </w:r>
        <w:r>
          <w:rPr>
            <w:noProof/>
            <w:webHidden/>
          </w:rPr>
          <w:instrText xml:space="preserve"> PAGEREF _Toc210590035 \h </w:instrText>
        </w:r>
        <w:r>
          <w:rPr>
            <w:noProof/>
            <w:webHidden/>
          </w:rPr>
        </w:r>
        <w:r>
          <w:rPr>
            <w:noProof/>
            <w:webHidden/>
          </w:rPr>
          <w:fldChar w:fldCharType="separate"/>
        </w:r>
        <w:r>
          <w:rPr>
            <w:noProof/>
            <w:webHidden/>
          </w:rPr>
          <w:t>1</w:t>
        </w:r>
        <w:r>
          <w:rPr>
            <w:noProof/>
            <w:webHidden/>
          </w:rPr>
          <w:fldChar w:fldCharType="end"/>
        </w:r>
      </w:hyperlink>
    </w:p>
    <w:p w14:paraId="493E9768" w14:textId="0767A02E" w:rsidR="00A933F3" w:rsidRDefault="00A933F3">
      <w:pPr>
        <w:pStyle w:val="20"/>
        <w:tabs>
          <w:tab w:val="right" w:leader="dot" w:pos="9350"/>
        </w:tabs>
        <w:rPr>
          <w:noProof/>
        </w:rPr>
      </w:pPr>
      <w:hyperlink w:anchor="_Toc210590036" w:history="1">
        <w:r w:rsidRPr="008617B4">
          <w:rPr>
            <w:rStyle w:val="a6"/>
            <w:rFonts w:asciiTheme="majorHAnsi" w:eastAsia="Google Sans" w:hAnsiTheme="majorHAnsi" w:cstheme="majorHAnsi"/>
            <w:noProof/>
          </w:rPr>
          <w:t>Введение. Новая эра для Сербии: от энергетической зависимости к технологическому лидерству</w:t>
        </w:r>
        <w:r>
          <w:rPr>
            <w:noProof/>
            <w:webHidden/>
          </w:rPr>
          <w:tab/>
        </w:r>
        <w:r>
          <w:rPr>
            <w:noProof/>
            <w:webHidden/>
          </w:rPr>
          <w:fldChar w:fldCharType="begin"/>
        </w:r>
        <w:r>
          <w:rPr>
            <w:noProof/>
            <w:webHidden/>
          </w:rPr>
          <w:instrText xml:space="preserve"> PAGEREF _Toc210590036 \h </w:instrText>
        </w:r>
        <w:r>
          <w:rPr>
            <w:noProof/>
            <w:webHidden/>
          </w:rPr>
        </w:r>
        <w:r>
          <w:rPr>
            <w:noProof/>
            <w:webHidden/>
          </w:rPr>
          <w:fldChar w:fldCharType="separate"/>
        </w:r>
        <w:r>
          <w:rPr>
            <w:noProof/>
            <w:webHidden/>
          </w:rPr>
          <w:t>1</w:t>
        </w:r>
        <w:r>
          <w:rPr>
            <w:noProof/>
            <w:webHidden/>
          </w:rPr>
          <w:fldChar w:fldCharType="end"/>
        </w:r>
      </w:hyperlink>
    </w:p>
    <w:p w14:paraId="01434741" w14:textId="097B8F6B" w:rsidR="00A933F3" w:rsidRDefault="00A933F3">
      <w:pPr>
        <w:pStyle w:val="20"/>
        <w:tabs>
          <w:tab w:val="right" w:leader="dot" w:pos="9350"/>
        </w:tabs>
        <w:rPr>
          <w:noProof/>
        </w:rPr>
      </w:pPr>
      <w:hyperlink w:anchor="_Toc210590037" w:history="1">
        <w:r w:rsidRPr="008617B4">
          <w:rPr>
            <w:rStyle w:val="a6"/>
            <w:rFonts w:asciiTheme="majorHAnsi" w:eastAsia="Google Sans" w:hAnsiTheme="majorHAnsi" w:cstheme="majorHAnsi"/>
            <w:noProof/>
          </w:rPr>
          <w:t>Фундаментальные «узкие места» глобального ядерного ренессанса: взгляд на проблемы изнутри</w:t>
        </w:r>
        <w:r>
          <w:rPr>
            <w:noProof/>
            <w:webHidden/>
          </w:rPr>
          <w:tab/>
        </w:r>
        <w:r>
          <w:rPr>
            <w:noProof/>
            <w:webHidden/>
          </w:rPr>
          <w:fldChar w:fldCharType="begin"/>
        </w:r>
        <w:r>
          <w:rPr>
            <w:noProof/>
            <w:webHidden/>
          </w:rPr>
          <w:instrText xml:space="preserve"> PAGEREF _Toc210590037 \h </w:instrText>
        </w:r>
        <w:r>
          <w:rPr>
            <w:noProof/>
            <w:webHidden/>
          </w:rPr>
        </w:r>
        <w:r>
          <w:rPr>
            <w:noProof/>
            <w:webHidden/>
          </w:rPr>
          <w:fldChar w:fldCharType="separate"/>
        </w:r>
        <w:r>
          <w:rPr>
            <w:noProof/>
            <w:webHidden/>
          </w:rPr>
          <w:t>2</w:t>
        </w:r>
        <w:r>
          <w:rPr>
            <w:noProof/>
            <w:webHidden/>
          </w:rPr>
          <w:fldChar w:fldCharType="end"/>
        </w:r>
      </w:hyperlink>
    </w:p>
    <w:p w14:paraId="0D112D42" w14:textId="133124B5" w:rsidR="00A933F3" w:rsidRDefault="00A933F3">
      <w:pPr>
        <w:pStyle w:val="30"/>
        <w:tabs>
          <w:tab w:val="right" w:leader="dot" w:pos="9350"/>
        </w:tabs>
        <w:rPr>
          <w:noProof/>
        </w:rPr>
      </w:pPr>
      <w:hyperlink w:anchor="_Toc210590038" w:history="1">
        <w:r w:rsidRPr="008617B4">
          <w:rPr>
            <w:rStyle w:val="a6"/>
            <w:rFonts w:asciiTheme="majorHAnsi" w:eastAsia="Google Sans" w:hAnsiTheme="majorHAnsi" w:cstheme="majorHAnsi"/>
            <w:noProof/>
          </w:rPr>
          <w:t>Наследие прошлого: проблемы первого и второго поколений АЭС</w:t>
        </w:r>
        <w:r>
          <w:rPr>
            <w:noProof/>
            <w:webHidden/>
          </w:rPr>
          <w:tab/>
        </w:r>
        <w:r>
          <w:rPr>
            <w:noProof/>
            <w:webHidden/>
          </w:rPr>
          <w:fldChar w:fldCharType="begin"/>
        </w:r>
        <w:r>
          <w:rPr>
            <w:noProof/>
            <w:webHidden/>
          </w:rPr>
          <w:instrText xml:space="preserve"> PAGEREF _Toc210590038 \h </w:instrText>
        </w:r>
        <w:r>
          <w:rPr>
            <w:noProof/>
            <w:webHidden/>
          </w:rPr>
        </w:r>
        <w:r>
          <w:rPr>
            <w:noProof/>
            <w:webHidden/>
          </w:rPr>
          <w:fldChar w:fldCharType="separate"/>
        </w:r>
        <w:r>
          <w:rPr>
            <w:noProof/>
            <w:webHidden/>
          </w:rPr>
          <w:t>2</w:t>
        </w:r>
        <w:r>
          <w:rPr>
            <w:noProof/>
            <w:webHidden/>
          </w:rPr>
          <w:fldChar w:fldCharType="end"/>
        </w:r>
      </w:hyperlink>
    </w:p>
    <w:p w14:paraId="6701E9A2" w14:textId="174AB122" w:rsidR="00A933F3" w:rsidRDefault="00A933F3">
      <w:pPr>
        <w:pStyle w:val="30"/>
        <w:tabs>
          <w:tab w:val="right" w:leader="dot" w:pos="9350"/>
        </w:tabs>
        <w:rPr>
          <w:noProof/>
        </w:rPr>
      </w:pPr>
      <w:hyperlink w:anchor="_Toc210590039" w:history="1">
        <w:r w:rsidRPr="008617B4">
          <w:rPr>
            <w:rStyle w:val="a6"/>
            <w:rFonts w:asciiTheme="majorHAnsi" w:eastAsia="Google Sans" w:hAnsiTheme="majorHAnsi" w:cstheme="majorHAnsi"/>
            <w:noProof/>
          </w:rPr>
          <w:t>ОЯТ: не отходы, а ресурс. Концепция замкнутого топливного цикла</w:t>
        </w:r>
        <w:r>
          <w:rPr>
            <w:noProof/>
            <w:webHidden/>
          </w:rPr>
          <w:tab/>
        </w:r>
        <w:r>
          <w:rPr>
            <w:noProof/>
            <w:webHidden/>
          </w:rPr>
          <w:fldChar w:fldCharType="begin"/>
        </w:r>
        <w:r>
          <w:rPr>
            <w:noProof/>
            <w:webHidden/>
          </w:rPr>
          <w:instrText xml:space="preserve"> PAGEREF _Toc210590039 \h </w:instrText>
        </w:r>
        <w:r>
          <w:rPr>
            <w:noProof/>
            <w:webHidden/>
          </w:rPr>
        </w:r>
        <w:r>
          <w:rPr>
            <w:noProof/>
            <w:webHidden/>
          </w:rPr>
          <w:fldChar w:fldCharType="separate"/>
        </w:r>
        <w:r>
          <w:rPr>
            <w:noProof/>
            <w:webHidden/>
          </w:rPr>
          <w:t>2</w:t>
        </w:r>
        <w:r>
          <w:rPr>
            <w:noProof/>
            <w:webHidden/>
          </w:rPr>
          <w:fldChar w:fldCharType="end"/>
        </w:r>
      </w:hyperlink>
    </w:p>
    <w:p w14:paraId="4F6CDB15" w14:textId="15110C6B" w:rsidR="00A933F3" w:rsidRDefault="00A933F3">
      <w:pPr>
        <w:pStyle w:val="20"/>
        <w:tabs>
          <w:tab w:val="right" w:leader="dot" w:pos="9350"/>
        </w:tabs>
        <w:rPr>
          <w:noProof/>
        </w:rPr>
      </w:pPr>
      <w:hyperlink w:anchor="_Toc210590040" w:history="1">
        <w:r w:rsidRPr="008617B4">
          <w:rPr>
            <w:rStyle w:val="a6"/>
            <w:rFonts w:asciiTheme="majorHAnsi" w:eastAsia="Google Sans" w:hAnsiTheme="majorHAnsi" w:cstheme="majorHAnsi"/>
            <w:noProof/>
          </w:rPr>
          <w:t>Стратегия преодоления: роль поставщика и международной кооперации</w:t>
        </w:r>
        <w:r>
          <w:rPr>
            <w:noProof/>
            <w:webHidden/>
          </w:rPr>
          <w:tab/>
        </w:r>
        <w:r>
          <w:rPr>
            <w:noProof/>
            <w:webHidden/>
          </w:rPr>
          <w:fldChar w:fldCharType="begin"/>
        </w:r>
        <w:r>
          <w:rPr>
            <w:noProof/>
            <w:webHidden/>
          </w:rPr>
          <w:instrText xml:space="preserve"> PAGEREF _Toc210590040 \h </w:instrText>
        </w:r>
        <w:r>
          <w:rPr>
            <w:noProof/>
            <w:webHidden/>
          </w:rPr>
        </w:r>
        <w:r>
          <w:rPr>
            <w:noProof/>
            <w:webHidden/>
          </w:rPr>
          <w:fldChar w:fldCharType="separate"/>
        </w:r>
        <w:r>
          <w:rPr>
            <w:noProof/>
            <w:webHidden/>
          </w:rPr>
          <w:t>4</w:t>
        </w:r>
        <w:r>
          <w:rPr>
            <w:noProof/>
            <w:webHidden/>
          </w:rPr>
          <w:fldChar w:fldCharType="end"/>
        </w:r>
      </w:hyperlink>
    </w:p>
    <w:p w14:paraId="1E1D9417" w14:textId="4FB05D79" w:rsidR="00A933F3" w:rsidRDefault="00A933F3">
      <w:pPr>
        <w:pStyle w:val="30"/>
        <w:tabs>
          <w:tab w:val="right" w:leader="dot" w:pos="9350"/>
        </w:tabs>
        <w:rPr>
          <w:noProof/>
        </w:rPr>
      </w:pPr>
      <w:hyperlink w:anchor="_Toc210590041" w:history="1">
        <w:r w:rsidRPr="008617B4">
          <w:rPr>
            <w:rStyle w:val="a6"/>
            <w:rFonts w:asciiTheme="majorHAnsi" w:eastAsia="Google Sans" w:hAnsiTheme="majorHAnsi" w:cstheme="majorHAnsi"/>
            <w:noProof/>
          </w:rPr>
          <w:t>Концепция «От колыбели до могилы» (from cradle to grave): новая парадигма ответственности</w:t>
        </w:r>
        <w:r>
          <w:rPr>
            <w:noProof/>
            <w:webHidden/>
          </w:rPr>
          <w:tab/>
        </w:r>
        <w:r>
          <w:rPr>
            <w:noProof/>
            <w:webHidden/>
          </w:rPr>
          <w:fldChar w:fldCharType="begin"/>
        </w:r>
        <w:r>
          <w:rPr>
            <w:noProof/>
            <w:webHidden/>
          </w:rPr>
          <w:instrText xml:space="preserve"> PAGEREF _Toc210590041 \h </w:instrText>
        </w:r>
        <w:r>
          <w:rPr>
            <w:noProof/>
            <w:webHidden/>
          </w:rPr>
        </w:r>
        <w:r>
          <w:rPr>
            <w:noProof/>
            <w:webHidden/>
          </w:rPr>
          <w:fldChar w:fldCharType="separate"/>
        </w:r>
        <w:r>
          <w:rPr>
            <w:noProof/>
            <w:webHidden/>
          </w:rPr>
          <w:t>4</w:t>
        </w:r>
        <w:r>
          <w:rPr>
            <w:noProof/>
            <w:webHidden/>
          </w:rPr>
          <w:fldChar w:fldCharType="end"/>
        </w:r>
      </w:hyperlink>
    </w:p>
    <w:p w14:paraId="6FC6F990" w14:textId="3993E37A" w:rsidR="00A933F3" w:rsidRDefault="00A933F3">
      <w:pPr>
        <w:pStyle w:val="30"/>
        <w:tabs>
          <w:tab w:val="right" w:leader="dot" w:pos="9350"/>
        </w:tabs>
        <w:rPr>
          <w:noProof/>
        </w:rPr>
      </w:pPr>
      <w:hyperlink w:anchor="_Toc210590042" w:history="1">
        <w:r w:rsidRPr="008617B4">
          <w:rPr>
            <w:rStyle w:val="a6"/>
            <w:rFonts w:asciiTheme="majorHAnsi" w:eastAsia="Google Sans" w:hAnsiTheme="majorHAnsi" w:cstheme="majorHAnsi"/>
            <w:noProof/>
          </w:rPr>
          <w:t>Многосторонние подходы и международные центры ЯТЦ</w:t>
        </w:r>
        <w:r>
          <w:rPr>
            <w:noProof/>
            <w:webHidden/>
          </w:rPr>
          <w:tab/>
        </w:r>
        <w:r>
          <w:rPr>
            <w:noProof/>
            <w:webHidden/>
          </w:rPr>
          <w:fldChar w:fldCharType="begin"/>
        </w:r>
        <w:r>
          <w:rPr>
            <w:noProof/>
            <w:webHidden/>
          </w:rPr>
          <w:instrText xml:space="preserve"> PAGEREF _Toc210590042 \h </w:instrText>
        </w:r>
        <w:r>
          <w:rPr>
            <w:noProof/>
            <w:webHidden/>
          </w:rPr>
        </w:r>
        <w:r>
          <w:rPr>
            <w:noProof/>
            <w:webHidden/>
          </w:rPr>
          <w:fldChar w:fldCharType="separate"/>
        </w:r>
        <w:r>
          <w:rPr>
            <w:noProof/>
            <w:webHidden/>
          </w:rPr>
          <w:t>4</w:t>
        </w:r>
        <w:r>
          <w:rPr>
            <w:noProof/>
            <w:webHidden/>
          </w:rPr>
          <w:fldChar w:fldCharType="end"/>
        </w:r>
      </w:hyperlink>
    </w:p>
    <w:p w14:paraId="3F6106E5" w14:textId="55D7A36B" w:rsidR="00A933F3" w:rsidRDefault="00A933F3">
      <w:pPr>
        <w:pStyle w:val="30"/>
        <w:tabs>
          <w:tab w:val="right" w:leader="dot" w:pos="9350"/>
        </w:tabs>
        <w:rPr>
          <w:noProof/>
        </w:rPr>
      </w:pPr>
      <w:hyperlink w:anchor="_Toc210590043" w:history="1">
        <w:r w:rsidRPr="008617B4">
          <w:rPr>
            <w:rStyle w:val="a6"/>
            <w:rFonts w:asciiTheme="majorHAnsi" w:eastAsia="Google Sans" w:hAnsiTheme="majorHAnsi" w:cstheme="majorHAnsi"/>
            <w:noProof/>
          </w:rPr>
          <w:t>Прагматичный выбор для Сербии: стратегическое партнерство с «Росатомом»</w:t>
        </w:r>
        <w:r>
          <w:rPr>
            <w:noProof/>
            <w:webHidden/>
          </w:rPr>
          <w:tab/>
        </w:r>
        <w:r>
          <w:rPr>
            <w:noProof/>
            <w:webHidden/>
          </w:rPr>
          <w:fldChar w:fldCharType="begin"/>
        </w:r>
        <w:r>
          <w:rPr>
            <w:noProof/>
            <w:webHidden/>
          </w:rPr>
          <w:instrText xml:space="preserve"> PAGEREF _Toc210590043 \h </w:instrText>
        </w:r>
        <w:r>
          <w:rPr>
            <w:noProof/>
            <w:webHidden/>
          </w:rPr>
        </w:r>
        <w:r>
          <w:rPr>
            <w:noProof/>
            <w:webHidden/>
          </w:rPr>
          <w:fldChar w:fldCharType="separate"/>
        </w:r>
        <w:r>
          <w:rPr>
            <w:noProof/>
            <w:webHidden/>
          </w:rPr>
          <w:t>5</w:t>
        </w:r>
        <w:r>
          <w:rPr>
            <w:noProof/>
            <w:webHidden/>
          </w:rPr>
          <w:fldChar w:fldCharType="end"/>
        </w:r>
      </w:hyperlink>
    </w:p>
    <w:p w14:paraId="08524328" w14:textId="761FDE0B" w:rsidR="00A933F3" w:rsidRDefault="00A933F3">
      <w:pPr>
        <w:pStyle w:val="20"/>
        <w:tabs>
          <w:tab w:val="right" w:leader="dot" w:pos="9350"/>
        </w:tabs>
        <w:rPr>
          <w:noProof/>
        </w:rPr>
      </w:pPr>
      <w:hyperlink w:anchor="_Toc210590044" w:history="1">
        <w:r w:rsidRPr="008617B4">
          <w:rPr>
            <w:rStyle w:val="a6"/>
            <w:rFonts w:asciiTheme="majorHAnsi" w:eastAsia="Google Sans" w:hAnsiTheme="majorHAnsi" w:cstheme="majorHAnsi"/>
            <w:noProof/>
          </w:rPr>
          <w:t>Локализация: уроки международного опыта и дорожная карта для Сербии</w:t>
        </w:r>
        <w:r>
          <w:rPr>
            <w:noProof/>
            <w:webHidden/>
          </w:rPr>
          <w:tab/>
        </w:r>
        <w:r>
          <w:rPr>
            <w:noProof/>
            <w:webHidden/>
          </w:rPr>
          <w:fldChar w:fldCharType="begin"/>
        </w:r>
        <w:r>
          <w:rPr>
            <w:noProof/>
            <w:webHidden/>
          </w:rPr>
          <w:instrText xml:space="preserve"> PAGEREF _Toc210590044 \h </w:instrText>
        </w:r>
        <w:r>
          <w:rPr>
            <w:noProof/>
            <w:webHidden/>
          </w:rPr>
        </w:r>
        <w:r>
          <w:rPr>
            <w:noProof/>
            <w:webHidden/>
          </w:rPr>
          <w:fldChar w:fldCharType="separate"/>
        </w:r>
        <w:r>
          <w:rPr>
            <w:noProof/>
            <w:webHidden/>
          </w:rPr>
          <w:t>5</w:t>
        </w:r>
        <w:r>
          <w:rPr>
            <w:noProof/>
            <w:webHidden/>
          </w:rPr>
          <w:fldChar w:fldCharType="end"/>
        </w:r>
      </w:hyperlink>
    </w:p>
    <w:p w14:paraId="56E6FF57" w14:textId="027AA359" w:rsidR="00A933F3" w:rsidRDefault="00A933F3">
      <w:pPr>
        <w:pStyle w:val="30"/>
        <w:tabs>
          <w:tab w:val="right" w:leader="dot" w:pos="9350"/>
        </w:tabs>
        <w:rPr>
          <w:noProof/>
        </w:rPr>
      </w:pPr>
      <w:hyperlink w:anchor="_Toc210590045" w:history="1">
        <w:r w:rsidRPr="008617B4">
          <w:rPr>
            <w:rStyle w:val="a6"/>
            <w:rFonts w:asciiTheme="majorHAnsi" w:eastAsia="Google Sans" w:hAnsiTheme="majorHAnsi" w:cstheme="majorHAnsi"/>
            <w:noProof/>
          </w:rPr>
          <w:t>Ключевые факторы успеха международного трансфера технологий</w:t>
        </w:r>
        <w:r>
          <w:rPr>
            <w:noProof/>
            <w:webHidden/>
          </w:rPr>
          <w:tab/>
        </w:r>
        <w:r>
          <w:rPr>
            <w:noProof/>
            <w:webHidden/>
          </w:rPr>
          <w:fldChar w:fldCharType="begin"/>
        </w:r>
        <w:r>
          <w:rPr>
            <w:noProof/>
            <w:webHidden/>
          </w:rPr>
          <w:instrText xml:space="preserve"> PAGEREF _Toc210590045 \h </w:instrText>
        </w:r>
        <w:r>
          <w:rPr>
            <w:noProof/>
            <w:webHidden/>
          </w:rPr>
        </w:r>
        <w:r>
          <w:rPr>
            <w:noProof/>
            <w:webHidden/>
          </w:rPr>
          <w:fldChar w:fldCharType="separate"/>
        </w:r>
        <w:r>
          <w:rPr>
            <w:noProof/>
            <w:webHidden/>
          </w:rPr>
          <w:t>5</w:t>
        </w:r>
        <w:r>
          <w:rPr>
            <w:noProof/>
            <w:webHidden/>
          </w:rPr>
          <w:fldChar w:fldCharType="end"/>
        </w:r>
      </w:hyperlink>
    </w:p>
    <w:p w14:paraId="76DE9414" w14:textId="6C9A9FB9" w:rsidR="00A933F3" w:rsidRDefault="00A933F3">
      <w:pPr>
        <w:pStyle w:val="30"/>
        <w:tabs>
          <w:tab w:val="right" w:leader="dot" w:pos="9350"/>
        </w:tabs>
        <w:rPr>
          <w:noProof/>
        </w:rPr>
      </w:pPr>
      <w:hyperlink w:anchor="_Toc210590046" w:history="1">
        <w:r w:rsidRPr="008617B4">
          <w:rPr>
            <w:rStyle w:val="a6"/>
            <w:rFonts w:asciiTheme="majorHAnsi" w:eastAsia="Google Sans" w:hAnsiTheme="majorHAnsi" w:cstheme="majorHAnsi"/>
            <w:noProof/>
          </w:rPr>
          <w:t>Локализация как драйвер экономического и технологического развития Сербии</w:t>
        </w:r>
        <w:r>
          <w:rPr>
            <w:noProof/>
            <w:webHidden/>
          </w:rPr>
          <w:tab/>
        </w:r>
        <w:r>
          <w:rPr>
            <w:noProof/>
            <w:webHidden/>
          </w:rPr>
          <w:fldChar w:fldCharType="begin"/>
        </w:r>
        <w:r>
          <w:rPr>
            <w:noProof/>
            <w:webHidden/>
          </w:rPr>
          <w:instrText xml:space="preserve"> PAGEREF _Toc210590046 \h </w:instrText>
        </w:r>
        <w:r>
          <w:rPr>
            <w:noProof/>
            <w:webHidden/>
          </w:rPr>
        </w:r>
        <w:r>
          <w:rPr>
            <w:noProof/>
            <w:webHidden/>
          </w:rPr>
          <w:fldChar w:fldCharType="separate"/>
        </w:r>
        <w:r>
          <w:rPr>
            <w:noProof/>
            <w:webHidden/>
          </w:rPr>
          <w:t>6</w:t>
        </w:r>
        <w:r>
          <w:rPr>
            <w:noProof/>
            <w:webHidden/>
          </w:rPr>
          <w:fldChar w:fldCharType="end"/>
        </w:r>
      </w:hyperlink>
    </w:p>
    <w:p w14:paraId="53E3BD8C" w14:textId="0E78C450" w:rsidR="00A933F3" w:rsidRDefault="00A933F3">
      <w:pPr>
        <w:pStyle w:val="20"/>
        <w:tabs>
          <w:tab w:val="right" w:leader="dot" w:pos="9350"/>
        </w:tabs>
        <w:rPr>
          <w:noProof/>
        </w:rPr>
      </w:pPr>
      <w:hyperlink w:anchor="_Toc210590047" w:history="1">
        <w:r w:rsidRPr="008617B4">
          <w:rPr>
            <w:rStyle w:val="a6"/>
            <w:rFonts w:asciiTheme="majorHAnsi" w:eastAsia="Google Sans" w:hAnsiTheme="majorHAnsi" w:cstheme="majorHAnsi"/>
            <w:noProof/>
          </w:rPr>
          <w:t>Создание национальной «ядерной школы»: мультипликативный эффект проекта</w:t>
        </w:r>
        <w:r>
          <w:rPr>
            <w:noProof/>
            <w:webHidden/>
          </w:rPr>
          <w:tab/>
        </w:r>
        <w:r>
          <w:rPr>
            <w:noProof/>
            <w:webHidden/>
          </w:rPr>
          <w:fldChar w:fldCharType="begin"/>
        </w:r>
        <w:r>
          <w:rPr>
            <w:noProof/>
            <w:webHidden/>
          </w:rPr>
          <w:instrText xml:space="preserve"> PAGEREF _Toc210590047 \h </w:instrText>
        </w:r>
        <w:r>
          <w:rPr>
            <w:noProof/>
            <w:webHidden/>
          </w:rPr>
        </w:r>
        <w:r>
          <w:rPr>
            <w:noProof/>
            <w:webHidden/>
          </w:rPr>
          <w:fldChar w:fldCharType="separate"/>
        </w:r>
        <w:r>
          <w:rPr>
            <w:noProof/>
            <w:webHidden/>
          </w:rPr>
          <w:t>6</w:t>
        </w:r>
        <w:r>
          <w:rPr>
            <w:noProof/>
            <w:webHidden/>
          </w:rPr>
          <w:fldChar w:fldCharType="end"/>
        </w:r>
      </w:hyperlink>
    </w:p>
    <w:p w14:paraId="62EB8E7B" w14:textId="61127009" w:rsidR="00A933F3" w:rsidRDefault="00A933F3">
      <w:pPr>
        <w:pStyle w:val="30"/>
        <w:tabs>
          <w:tab w:val="right" w:leader="dot" w:pos="9350"/>
        </w:tabs>
        <w:rPr>
          <w:noProof/>
        </w:rPr>
      </w:pPr>
      <w:hyperlink w:anchor="_Toc210590048" w:history="1">
        <w:r w:rsidRPr="008617B4">
          <w:rPr>
            <w:rStyle w:val="a6"/>
            <w:rFonts w:asciiTheme="majorHAnsi" w:eastAsia="Google Sans" w:hAnsiTheme="majorHAnsi" w:cstheme="majorHAnsi"/>
            <w:noProof/>
          </w:rPr>
          <w:t>Кадровый потенциал и образование</w:t>
        </w:r>
        <w:r>
          <w:rPr>
            <w:noProof/>
            <w:webHidden/>
          </w:rPr>
          <w:tab/>
        </w:r>
        <w:r>
          <w:rPr>
            <w:noProof/>
            <w:webHidden/>
          </w:rPr>
          <w:fldChar w:fldCharType="begin"/>
        </w:r>
        <w:r>
          <w:rPr>
            <w:noProof/>
            <w:webHidden/>
          </w:rPr>
          <w:instrText xml:space="preserve"> PAGEREF _Toc210590048 \h </w:instrText>
        </w:r>
        <w:r>
          <w:rPr>
            <w:noProof/>
            <w:webHidden/>
          </w:rPr>
        </w:r>
        <w:r>
          <w:rPr>
            <w:noProof/>
            <w:webHidden/>
          </w:rPr>
          <w:fldChar w:fldCharType="separate"/>
        </w:r>
        <w:r>
          <w:rPr>
            <w:noProof/>
            <w:webHidden/>
          </w:rPr>
          <w:t>6</w:t>
        </w:r>
        <w:r>
          <w:rPr>
            <w:noProof/>
            <w:webHidden/>
          </w:rPr>
          <w:fldChar w:fldCharType="end"/>
        </w:r>
      </w:hyperlink>
    </w:p>
    <w:p w14:paraId="01C5F0BC" w14:textId="71EC58B3" w:rsidR="00A933F3" w:rsidRDefault="00A933F3">
      <w:pPr>
        <w:pStyle w:val="30"/>
        <w:tabs>
          <w:tab w:val="right" w:leader="dot" w:pos="9350"/>
        </w:tabs>
        <w:rPr>
          <w:noProof/>
        </w:rPr>
      </w:pPr>
      <w:hyperlink w:anchor="_Toc210590049" w:history="1">
        <w:r w:rsidRPr="008617B4">
          <w:rPr>
            <w:rStyle w:val="a6"/>
            <w:rFonts w:asciiTheme="majorHAnsi" w:eastAsia="Google Sans" w:hAnsiTheme="majorHAnsi" w:cstheme="majorHAnsi"/>
            <w:noProof/>
          </w:rPr>
          <w:t>Формирование отраслевых кластеров</w:t>
        </w:r>
        <w:r>
          <w:rPr>
            <w:noProof/>
            <w:webHidden/>
          </w:rPr>
          <w:tab/>
        </w:r>
        <w:r>
          <w:rPr>
            <w:noProof/>
            <w:webHidden/>
          </w:rPr>
          <w:fldChar w:fldCharType="begin"/>
        </w:r>
        <w:r>
          <w:rPr>
            <w:noProof/>
            <w:webHidden/>
          </w:rPr>
          <w:instrText xml:space="preserve"> PAGEREF _Toc210590049 \h </w:instrText>
        </w:r>
        <w:r>
          <w:rPr>
            <w:noProof/>
            <w:webHidden/>
          </w:rPr>
        </w:r>
        <w:r>
          <w:rPr>
            <w:noProof/>
            <w:webHidden/>
          </w:rPr>
          <w:fldChar w:fldCharType="separate"/>
        </w:r>
        <w:r>
          <w:rPr>
            <w:noProof/>
            <w:webHidden/>
          </w:rPr>
          <w:t>7</w:t>
        </w:r>
        <w:r>
          <w:rPr>
            <w:noProof/>
            <w:webHidden/>
          </w:rPr>
          <w:fldChar w:fldCharType="end"/>
        </w:r>
      </w:hyperlink>
    </w:p>
    <w:p w14:paraId="21B10CED" w14:textId="774640C0" w:rsidR="00A933F3" w:rsidRDefault="00A933F3">
      <w:pPr>
        <w:pStyle w:val="30"/>
        <w:tabs>
          <w:tab w:val="right" w:leader="dot" w:pos="9350"/>
        </w:tabs>
        <w:rPr>
          <w:noProof/>
        </w:rPr>
      </w:pPr>
      <w:hyperlink w:anchor="_Toc210590050" w:history="1">
        <w:r w:rsidRPr="008617B4">
          <w:rPr>
            <w:rStyle w:val="a6"/>
            <w:rFonts w:asciiTheme="majorHAnsi" w:eastAsia="Google Sans" w:hAnsiTheme="majorHAnsi" w:cstheme="majorHAnsi"/>
            <w:noProof/>
          </w:rPr>
          <w:t>Организационное решение: проектный офис как «единое окно»</w:t>
        </w:r>
        <w:r>
          <w:rPr>
            <w:noProof/>
            <w:webHidden/>
          </w:rPr>
          <w:tab/>
        </w:r>
        <w:r>
          <w:rPr>
            <w:noProof/>
            <w:webHidden/>
          </w:rPr>
          <w:fldChar w:fldCharType="begin"/>
        </w:r>
        <w:r>
          <w:rPr>
            <w:noProof/>
            <w:webHidden/>
          </w:rPr>
          <w:instrText xml:space="preserve"> PAGEREF _Toc210590050 \h </w:instrText>
        </w:r>
        <w:r>
          <w:rPr>
            <w:noProof/>
            <w:webHidden/>
          </w:rPr>
        </w:r>
        <w:r>
          <w:rPr>
            <w:noProof/>
            <w:webHidden/>
          </w:rPr>
          <w:fldChar w:fldCharType="separate"/>
        </w:r>
        <w:r>
          <w:rPr>
            <w:noProof/>
            <w:webHidden/>
          </w:rPr>
          <w:t>7</w:t>
        </w:r>
        <w:r>
          <w:rPr>
            <w:noProof/>
            <w:webHidden/>
          </w:rPr>
          <w:fldChar w:fldCharType="end"/>
        </w:r>
      </w:hyperlink>
    </w:p>
    <w:p w14:paraId="2049B585" w14:textId="6D9A2F1D" w:rsidR="00A933F3" w:rsidRDefault="00A933F3">
      <w:pPr>
        <w:pStyle w:val="20"/>
        <w:tabs>
          <w:tab w:val="right" w:leader="dot" w:pos="9350"/>
        </w:tabs>
        <w:rPr>
          <w:noProof/>
        </w:rPr>
      </w:pPr>
      <w:hyperlink w:anchor="_Toc210590051" w:history="1">
        <w:r w:rsidRPr="008617B4">
          <w:rPr>
            <w:rStyle w:val="a6"/>
            <w:rFonts w:asciiTheme="majorHAnsi" w:eastAsia="Google Sans" w:hAnsiTheme="majorHAnsi" w:cstheme="majorHAnsi"/>
            <w:noProof/>
          </w:rPr>
          <w:t>Заключение и стратегические рекомендации</w:t>
        </w:r>
        <w:r>
          <w:rPr>
            <w:noProof/>
            <w:webHidden/>
          </w:rPr>
          <w:tab/>
        </w:r>
        <w:r>
          <w:rPr>
            <w:noProof/>
            <w:webHidden/>
          </w:rPr>
          <w:fldChar w:fldCharType="begin"/>
        </w:r>
        <w:r>
          <w:rPr>
            <w:noProof/>
            <w:webHidden/>
          </w:rPr>
          <w:instrText xml:space="preserve"> PAGEREF _Toc210590051 \h </w:instrText>
        </w:r>
        <w:r>
          <w:rPr>
            <w:noProof/>
            <w:webHidden/>
          </w:rPr>
        </w:r>
        <w:r>
          <w:rPr>
            <w:noProof/>
            <w:webHidden/>
          </w:rPr>
          <w:fldChar w:fldCharType="separate"/>
        </w:r>
        <w:r>
          <w:rPr>
            <w:noProof/>
            <w:webHidden/>
          </w:rPr>
          <w:t>7</w:t>
        </w:r>
        <w:r>
          <w:rPr>
            <w:noProof/>
            <w:webHidden/>
          </w:rPr>
          <w:fldChar w:fldCharType="end"/>
        </w:r>
      </w:hyperlink>
    </w:p>
    <w:p w14:paraId="3A4E3FBA" w14:textId="46C57C7E" w:rsidR="00A933F3" w:rsidRDefault="00A933F3" w:rsidP="00A933F3">
      <w:r>
        <w:fldChar w:fldCharType="end"/>
      </w:r>
    </w:p>
    <w:p w14:paraId="0EE9157F" w14:textId="77777777" w:rsidR="00A933F3" w:rsidRPr="00A933F3" w:rsidRDefault="00A933F3" w:rsidP="00A933F3"/>
    <w:p w14:paraId="1BD8D844" w14:textId="77777777" w:rsidR="00A933F3" w:rsidRDefault="00A933F3">
      <w:pPr>
        <w:rPr>
          <w:rFonts w:asciiTheme="majorHAnsi" w:eastAsia="Google Sans" w:hAnsiTheme="majorHAnsi" w:cstheme="majorHAnsi"/>
          <w:b/>
          <w:color w:val="1B1C1D"/>
          <w:sz w:val="36"/>
          <w:szCs w:val="36"/>
        </w:rPr>
      </w:pPr>
      <w:bookmarkStart w:id="1" w:name="_Toc210590036"/>
      <w:r>
        <w:rPr>
          <w:rFonts w:asciiTheme="majorHAnsi" w:eastAsia="Google Sans" w:hAnsiTheme="majorHAnsi" w:cstheme="majorHAnsi"/>
          <w:color w:val="1B1C1D"/>
        </w:rPr>
        <w:br w:type="page"/>
      </w:r>
    </w:p>
    <w:p w14:paraId="6EB29FD5" w14:textId="21963E18" w:rsidR="00A933F3" w:rsidRDefault="00000000" w:rsidP="00A933F3">
      <w:pPr>
        <w:pStyle w:val="2"/>
        <w:spacing w:before="0" w:after="120" w:line="275" w:lineRule="auto"/>
        <w:jc w:val="both"/>
        <w:rPr>
          <w:rFonts w:asciiTheme="majorHAnsi" w:eastAsia="Google Sans" w:hAnsiTheme="majorHAnsi" w:cstheme="majorHAnsi"/>
          <w:color w:val="1B1C1D"/>
        </w:rPr>
      </w:pPr>
      <w:r w:rsidRPr="00A933F3">
        <w:rPr>
          <w:rFonts w:asciiTheme="majorHAnsi" w:eastAsia="Google Sans" w:hAnsiTheme="majorHAnsi" w:cstheme="majorHAnsi"/>
          <w:color w:val="1B1C1D"/>
        </w:rPr>
        <w:lastRenderedPageBreak/>
        <w:t>Введение. Новая эра для Сербии: от энергетической зависимости к технологическому лидерству</w:t>
      </w:r>
      <w:bookmarkEnd w:id="1"/>
    </w:p>
    <w:p w14:paraId="412596F8" w14:textId="3B3EAE54" w:rsidR="00862C1F" w:rsidRP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Сербия стоит на пороге стратегически важного решения о развитии атомной энергетики. Этот шаг способен не только решить долгосрочные вопросы энергетической безопасности и независимости, но и стать мощным катализатором для системного обновления экономики. Однако, как показывает мировой опыт, реализация таких проектов в странах, которые только начинают свой путь в ядерной сфере, сопряжена со значительными стратегическими, техническими и организационными вызовами.</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В отличие от стран-пионеров, Сербия не обладает развитой инфраструктурой ядерного топливного цикла (ЯТЦ) и не имеет достаточного количества квалифицированных специалистов для управления столь сложными объектами.</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Это делает проект уязвимым и подверженным рискам, которые требуют глубокого анализа и выработки превентивных решений.</w:t>
      </w:r>
    </w:p>
    <w:p w14:paraId="0FE15CEA" w14:textId="77777777" w:rsid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Целью настоящего отчета является всесторонний анализ стратегических, технических и организационных вызовов, связанных со строительством атомной электростанции (АЭС) в Сербии. В основе анализа — рассмотрение критических «узких мест» глобального ядерного ренессанса, а также изучение международного опыта в области трансфера технологий и локализации. Отчет призван предложить практические рекомендации, которые позволят Сербии преодолеть эти вызовы и максимизировать долгосрочные выгоды от реализации проекта. Наша частная практика, Consilio B Consulting Bureau, специализируется на предоставлении управленческого и стратегического консалтинга для высокотехнологичных проектов и обладает необходимой экспертизой для поддержки Сербии на этом пути.</w:t>
      </w:r>
      <w:r w:rsidRPr="00A933F3">
        <w:rPr>
          <w:rFonts w:asciiTheme="majorHAnsi" w:eastAsia="Google Sans Text" w:hAnsiTheme="majorHAnsi" w:cstheme="majorHAnsi"/>
          <w:color w:val="575B5F"/>
          <w:sz w:val="24"/>
          <w:szCs w:val="24"/>
          <w:vertAlign w:val="superscript"/>
        </w:rPr>
        <w:t>1</w:t>
      </w:r>
    </w:p>
    <w:p w14:paraId="1AED48BE" w14:textId="77777777" w:rsidR="00A933F3" w:rsidRDefault="00000000" w:rsidP="00A933F3">
      <w:pPr>
        <w:pStyle w:val="2"/>
        <w:spacing w:before="0" w:after="120" w:line="275" w:lineRule="auto"/>
        <w:jc w:val="both"/>
        <w:rPr>
          <w:rFonts w:asciiTheme="majorHAnsi" w:eastAsia="Google Sans" w:hAnsiTheme="majorHAnsi" w:cstheme="majorHAnsi"/>
          <w:color w:val="1B1C1D"/>
        </w:rPr>
      </w:pPr>
      <w:bookmarkStart w:id="2" w:name="_Toc210590037"/>
      <w:r w:rsidRPr="00A933F3">
        <w:rPr>
          <w:rFonts w:asciiTheme="majorHAnsi" w:eastAsia="Google Sans" w:hAnsiTheme="majorHAnsi" w:cstheme="majorHAnsi"/>
          <w:color w:val="1B1C1D"/>
        </w:rPr>
        <w:t>Фундаментальные «узкие места» глобального ядерного ренессанса: взгляд на проблемы изнутри</w:t>
      </w:r>
      <w:bookmarkEnd w:id="2"/>
    </w:p>
    <w:p w14:paraId="4649C110" w14:textId="36B36317" w:rsidR="00A933F3" w:rsidRDefault="00000000" w:rsidP="00A933F3">
      <w:pPr>
        <w:pStyle w:val="3"/>
        <w:spacing w:before="0" w:after="120" w:line="275" w:lineRule="auto"/>
        <w:jc w:val="both"/>
        <w:rPr>
          <w:rFonts w:asciiTheme="majorHAnsi" w:eastAsia="Google Sans" w:hAnsiTheme="majorHAnsi" w:cstheme="majorHAnsi"/>
          <w:color w:val="1B1C1D"/>
        </w:rPr>
      </w:pPr>
      <w:bookmarkStart w:id="3" w:name="_Toc210590038"/>
      <w:r w:rsidRPr="00A933F3">
        <w:rPr>
          <w:rFonts w:asciiTheme="majorHAnsi" w:eastAsia="Google Sans" w:hAnsiTheme="majorHAnsi" w:cstheme="majorHAnsi"/>
          <w:color w:val="1B1C1D"/>
        </w:rPr>
        <w:t>Наследие прошлого: проблемы первого и второго поколений АЭС</w:t>
      </w:r>
      <w:bookmarkEnd w:id="3"/>
    </w:p>
    <w:p w14:paraId="1625A497" w14:textId="20505E98" w:rsidR="00862C1F" w:rsidRP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Мировая атомная энергетика, несмотря на свою относительную молодость, уже столкнулась с рядом нерешенных проблем, которые являются прямым следствием развития реакторных установок первого и второго поколений.</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Эти проблемы представляют собой так называемое «атомно-энергетическое наследие», которое включает в себя не только необходимость демонтажа остановленных блоков, но и долгосрочную задачу по обращению с образовавшимися радиоактивными отходами (РАО) и отработавшим ядерным топливом (ОЯТ).</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ОЯТ и РАО являются высокоактивными материалами, которые должны быть надежно изолированы от биосферы на протяжении тысяч лет, что требует создания специальных хранилищ и могильников.</w:t>
      </w:r>
      <w:r w:rsidRPr="00A933F3">
        <w:rPr>
          <w:rFonts w:asciiTheme="majorHAnsi" w:eastAsia="Google Sans Text" w:hAnsiTheme="majorHAnsi" w:cstheme="majorHAnsi"/>
          <w:color w:val="575B5F"/>
          <w:sz w:val="24"/>
          <w:szCs w:val="24"/>
          <w:vertAlign w:val="superscript"/>
        </w:rPr>
        <w:t>1</w:t>
      </w:r>
    </w:p>
    <w:p w14:paraId="56E7D366" w14:textId="77777777" w:rsid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Одной из наиболее острых проблем является накопление ОЯТ непосредственно на площадках АЭС.</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В условиях, когда долгосрочное решение по его утилизации или захоронению отсутствует, ОЯТ неизбежно накапливается во временных хранилищах, что не способствует повышению безопасности станций.</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Угроза не ограничивается техногенными авариями; такие хранилища могут </w:t>
      </w:r>
      <w:r w:rsidRPr="00A933F3">
        <w:rPr>
          <w:rFonts w:asciiTheme="majorHAnsi" w:eastAsia="Google Sans Text" w:hAnsiTheme="majorHAnsi" w:cstheme="majorHAnsi"/>
          <w:color w:val="1B1C1D"/>
        </w:rPr>
        <w:lastRenderedPageBreak/>
        <w:t>также представлять собой источник радиологической опасности в случае террористических актов.</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Ярким примером этой уязвимости является авария на АЭС «Фукусима-1», где потеря охлаждения в бассейнах выдержки ОЯТ привела к возникновению дополнительных проблем, связанных с выбросами радиоактивности в окружающую среду.</w:t>
      </w:r>
      <w:r w:rsidRPr="00A933F3">
        <w:rPr>
          <w:rFonts w:asciiTheme="majorHAnsi" w:eastAsia="Google Sans Text" w:hAnsiTheme="majorHAnsi" w:cstheme="majorHAnsi"/>
          <w:color w:val="575B5F"/>
          <w:sz w:val="24"/>
          <w:szCs w:val="24"/>
          <w:vertAlign w:val="superscript"/>
        </w:rPr>
        <w:t>1</w:t>
      </w:r>
    </w:p>
    <w:p w14:paraId="70C38D6C" w14:textId="77777777" w:rsidR="00A933F3" w:rsidRDefault="00000000" w:rsidP="00A933F3">
      <w:pPr>
        <w:pStyle w:val="3"/>
        <w:spacing w:before="0" w:after="120" w:line="275" w:lineRule="auto"/>
        <w:jc w:val="both"/>
        <w:rPr>
          <w:rFonts w:asciiTheme="majorHAnsi" w:eastAsia="Google Sans" w:hAnsiTheme="majorHAnsi" w:cstheme="majorHAnsi"/>
          <w:color w:val="1B1C1D"/>
        </w:rPr>
      </w:pPr>
      <w:bookmarkStart w:id="4" w:name="_Toc210590039"/>
      <w:r w:rsidRPr="00A933F3">
        <w:rPr>
          <w:rFonts w:asciiTheme="majorHAnsi" w:eastAsia="Google Sans" w:hAnsiTheme="majorHAnsi" w:cstheme="majorHAnsi"/>
          <w:color w:val="1B1C1D"/>
        </w:rPr>
        <w:t>ОЯТ: не отходы, а ресурс. Концепция замкнутого топливного цикла</w:t>
      </w:r>
      <w:bookmarkEnd w:id="4"/>
    </w:p>
    <w:p w14:paraId="6CDB5CF2" w14:textId="16A5C6AD" w:rsidR="00862C1F" w:rsidRP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В то время как для большинства стран, эксплуатирующих АЭС, ОЯТ является отходом производства, эксперты предлагают принципиально иной подход.</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ОЯТ следует рассматривать не как бесполезные отходы, а как «ценное вторсырье» для других ядерно-энергетических систем.</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Это связано с тем, что в облученном ядерном топливе остается неиспользованными около 94% изотопов урана и накапливается около 1% плутония, который является делящимся материалом.</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Таким образом, ОЯТ представляет собой одновременно и ядерно- и радиационно-опасный материал, который нельзя просто захоранивать.</w:t>
      </w:r>
      <w:r w:rsidRPr="00A933F3">
        <w:rPr>
          <w:rFonts w:asciiTheme="majorHAnsi" w:eastAsia="Google Sans Text" w:hAnsiTheme="majorHAnsi" w:cstheme="majorHAnsi"/>
          <w:color w:val="575B5F"/>
          <w:sz w:val="24"/>
          <w:szCs w:val="24"/>
          <w:vertAlign w:val="superscript"/>
        </w:rPr>
        <w:t>1</w:t>
      </w:r>
    </w:p>
    <w:p w14:paraId="36899119" w14:textId="77777777" w:rsidR="00862C1F" w:rsidRP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Для Сербии, как для страны, не имеющей инфраструктуры для переработки ОЯТ, это создает принципиальный стратегический выбор. Продолжение использования «отложенных решений» и накопление ОЯТ на площадке АЭС фактически перекладывает решение проблемы на будущие поколения, что противоречит основополагающим принципам ядерной и радиационной безопасности.</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Переход к концепции замкнутого топливного цикла, при котором ОЯТ перерабатывается, а его ценные компоненты утилизируются, позволяет существенно сократить объем высокоактивных отходов, повысить эффективность использования ядерных материалов и укрепить режим нераспространения.</w:t>
      </w:r>
      <w:r w:rsidRPr="00A933F3">
        <w:rPr>
          <w:rFonts w:asciiTheme="majorHAnsi" w:eastAsia="Google Sans Text" w:hAnsiTheme="majorHAnsi" w:cstheme="majorHAnsi"/>
          <w:color w:val="575B5F"/>
          <w:sz w:val="24"/>
          <w:szCs w:val="24"/>
          <w:vertAlign w:val="superscript"/>
        </w:rPr>
        <w:t>1</w:t>
      </w:r>
    </w:p>
    <w:p w14:paraId="5690362F" w14:textId="77777777" w:rsidR="00862C1F" w:rsidRP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В контексте Сербии, эти глобальные вызовы приобретают особую актуальность, поскольку страна должна будет создать всю необходимую инфраструктуру с нуля.</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Проблематика ОЯТ и РАО становится одним из центральных вопросов, который необходимо решить ещё до начала эксплуатации АЭС, так как без этого реализация масштабных программ становится невозможной.</w:t>
      </w:r>
      <w:r w:rsidRPr="00A933F3">
        <w:rPr>
          <w:rFonts w:asciiTheme="majorHAnsi" w:eastAsia="Google Sans Text" w:hAnsiTheme="majorHAnsi" w:cstheme="majorHAnsi"/>
          <w:color w:val="575B5F"/>
          <w:sz w:val="24"/>
          <w:szCs w:val="24"/>
          <w:vertAlign w:val="superscript"/>
        </w:rPr>
        <w:t>1</w:t>
      </w:r>
    </w:p>
    <w:p w14:paraId="757B9B90" w14:textId="77777777" w:rsidR="00862C1F" w:rsidRPr="00A933F3" w:rsidRDefault="00862C1F" w:rsidP="00A933F3">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862C1F" w:rsidRPr="00A933F3" w14:paraId="71118806"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0BD222" w14:textId="77777777" w:rsidR="00862C1F" w:rsidRPr="00A933F3" w:rsidRDefault="00000000" w:rsidP="00A933F3">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Глобальная проблема</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892EB4" w14:textId="77777777" w:rsidR="00862C1F" w:rsidRPr="00A933F3" w:rsidRDefault="00000000" w:rsidP="00A933F3">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Источник проблемы</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D18CC0" w14:textId="77777777" w:rsidR="00862C1F" w:rsidRPr="00A933F3" w:rsidRDefault="00000000" w:rsidP="00A933F3">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Актуальность для Сербии</w:t>
            </w:r>
          </w:p>
        </w:tc>
      </w:tr>
      <w:tr w:rsidR="00862C1F" w:rsidRPr="00A933F3" w14:paraId="2AFF9D3B"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9C4C0F" w14:textId="77777777" w:rsidR="00862C1F" w:rsidRPr="00A933F3" w:rsidRDefault="00000000" w:rsidP="00A933F3">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Накопление ОЯТ на площадках АЭС</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1EBB49" w14:textId="77777777" w:rsidR="00862C1F" w:rsidRPr="00A933F3" w:rsidRDefault="00000000" w:rsidP="00A933F3">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Отсутствие долгосрочных решений по переработке или захоронению.</w:t>
            </w:r>
            <w:r w:rsidRPr="00A933F3">
              <w:rPr>
                <w:rFonts w:asciiTheme="majorHAnsi" w:eastAsia="Google Sans Text" w:hAnsiTheme="majorHAnsi" w:cstheme="majorHAnsi"/>
                <w:color w:val="575B5F"/>
                <w:sz w:val="24"/>
                <w:szCs w:val="24"/>
                <w:vertAlign w:val="superscript"/>
              </w:rPr>
              <w:t>1</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039F35" w14:textId="77777777" w:rsidR="00862C1F" w:rsidRPr="00A933F3" w:rsidRDefault="00000000" w:rsidP="00A933F3">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Создает риски безопасности и экологические угрозы с самого начала эксплуатации, требует немедленного решения.</w:t>
            </w:r>
            <w:r w:rsidRPr="00A933F3">
              <w:rPr>
                <w:rFonts w:asciiTheme="majorHAnsi" w:eastAsia="Google Sans Text" w:hAnsiTheme="majorHAnsi" w:cstheme="majorHAnsi"/>
                <w:color w:val="575B5F"/>
                <w:sz w:val="24"/>
                <w:szCs w:val="24"/>
                <w:vertAlign w:val="superscript"/>
              </w:rPr>
              <w:t>1</w:t>
            </w:r>
          </w:p>
        </w:tc>
      </w:tr>
      <w:tr w:rsidR="00862C1F" w:rsidRPr="00A933F3" w14:paraId="570CE8D4"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3FA645" w14:textId="77777777" w:rsidR="00862C1F" w:rsidRPr="00A933F3" w:rsidRDefault="00000000" w:rsidP="00A933F3">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 xml:space="preserve">Долговременное </w:t>
            </w:r>
            <w:r w:rsidRPr="00A933F3">
              <w:rPr>
                <w:rFonts w:asciiTheme="majorHAnsi" w:eastAsia="Google Sans Text" w:hAnsiTheme="majorHAnsi" w:cstheme="majorHAnsi"/>
                <w:color w:val="1B1C1D"/>
              </w:rPr>
              <w:lastRenderedPageBreak/>
              <w:t>захоронение РАО и ОЯТ</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DA63A2" w14:textId="77777777" w:rsidR="00862C1F" w:rsidRPr="00A933F3" w:rsidRDefault="00000000" w:rsidP="00A933F3">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lastRenderedPageBreak/>
              <w:t xml:space="preserve">Необходимость изоляции от биосферы на тысячи лет; </w:t>
            </w:r>
            <w:r w:rsidRPr="00A933F3">
              <w:rPr>
                <w:rFonts w:asciiTheme="majorHAnsi" w:eastAsia="Google Sans Text" w:hAnsiTheme="majorHAnsi" w:cstheme="majorHAnsi"/>
                <w:color w:val="1B1C1D"/>
              </w:rPr>
              <w:lastRenderedPageBreak/>
              <w:t>сложности с общественной приемкой и доказательством долгосрочной безопасности.</w:t>
            </w:r>
            <w:r w:rsidRPr="00A933F3">
              <w:rPr>
                <w:rFonts w:asciiTheme="majorHAnsi" w:eastAsia="Google Sans Text" w:hAnsiTheme="majorHAnsi" w:cstheme="majorHAnsi"/>
                <w:color w:val="575B5F"/>
                <w:sz w:val="24"/>
                <w:szCs w:val="24"/>
                <w:vertAlign w:val="superscript"/>
              </w:rPr>
              <w:t>1</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2D0B07" w14:textId="77777777" w:rsidR="00862C1F" w:rsidRPr="00A933F3" w:rsidRDefault="00000000" w:rsidP="00A933F3">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lastRenderedPageBreak/>
              <w:t xml:space="preserve">Сербия не имеет опыта и инфраструктуры для </w:t>
            </w:r>
            <w:r w:rsidRPr="00A933F3">
              <w:rPr>
                <w:rFonts w:asciiTheme="majorHAnsi" w:eastAsia="Google Sans Text" w:hAnsiTheme="majorHAnsi" w:cstheme="majorHAnsi"/>
                <w:color w:val="1B1C1D"/>
              </w:rPr>
              <w:lastRenderedPageBreak/>
              <w:t>создания подобных объектов, что делает эту задачу практически нерешаемой самостоятельно.</w:t>
            </w:r>
            <w:r w:rsidRPr="00A933F3">
              <w:rPr>
                <w:rFonts w:asciiTheme="majorHAnsi" w:eastAsia="Google Sans Text" w:hAnsiTheme="majorHAnsi" w:cstheme="majorHAnsi"/>
                <w:color w:val="575B5F"/>
                <w:sz w:val="24"/>
                <w:szCs w:val="24"/>
                <w:vertAlign w:val="superscript"/>
              </w:rPr>
              <w:t>2</w:t>
            </w:r>
          </w:p>
        </w:tc>
      </w:tr>
      <w:tr w:rsidR="00862C1F" w:rsidRPr="00A933F3" w14:paraId="204CB4AF"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4CEC54" w14:textId="77777777" w:rsidR="00862C1F" w:rsidRPr="00A933F3" w:rsidRDefault="00000000" w:rsidP="00A933F3">
            <w:pPr>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lastRenderedPageBreak/>
              <w:t>Отсутствие инфраструктуры ЯТЦ у стран-новичков</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31307CB" w14:textId="77777777" w:rsidR="00862C1F" w:rsidRPr="00A933F3" w:rsidRDefault="00000000" w:rsidP="00A933F3">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Основные заказчики — развивающиеся страны, не имеющие собственной атомной промышленности и квалифицированного персонала.</w:t>
            </w:r>
            <w:r w:rsidRPr="00A933F3">
              <w:rPr>
                <w:rFonts w:asciiTheme="majorHAnsi" w:eastAsia="Google Sans Text" w:hAnsiTheme="majorHAnsi" w:cstheme="majorHAnsi"/>
                <w:color w:val="575B5F"/>
                <w:sz w:val="24"/>
                <w:szCs w:val="24"/>
                <w:vertAlign w:val="superscript"/>
              </w:rPr>
              <w:t>1</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1EAFD7" w14:textId="77777777" w:rsidR="00862C1F" w:rsidRPr="00A933F3" w:rsidRDefault="00000000" w:rsidP="00A933F3">
            <w:pPr>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Высокий риск неспособности самостоятельно управлять всем жизненным циклом АЭС, что ставит под угрозу успех и безопасность всего проекта.</w:t>
            </w:r>
            <w:r w:rsidRPr="00A933F3">
              <w:rPr>
                <w:rFonts w:asciiTheme="majorHAnsi" w:eastAsia="Google Sans Text" w:hAnsiTheme="majorHAnsi" w:cstheme="majorHAnsi"/>
                <w:color w:val="575B5F"/>
                <w:sz w:val="24"/>
                <w:szCs w:val="24"/>
                <w:vertAlign w:val="superscript"/>
              </w:rPr>
              <w:t>1</w:t>
            </w:r>
          </w:p>
        </w:tc>
      </w:tr>
    </w:tbl>
    <w:p w14:paraId="39BC4E6E" w14:textId="77777777" w:rsidR="00862C1F" w:rsidRPr="00A933F3" w:rsidRDefault="00862C1F" w:rsidP="00A933F3">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p>
    <w:p w14:paraId="2162D50B" w14:textId="77777777" w:rsidR="00A933F3" w:rsidRDefault="00000000" w:rsidP="00A933F3">
      <w:pPr>
        <w:pStyle w:val="2"/>
        <w:spacing w:before="0" w:after="120" w:line="275" w:lineRule="auto"/>
        <w:jc w:val="both"/>
        <w:rPr>
          <w:rFonts w:asciiTheme="majorHAnsi" w:eastAsia="Google Sans" w:hAnsiTheme="majorHAnsi" w:cstheme="majorHAnsi"/>
          <w:color w:val="1B1C1D"/>
        </w:rPr>
      </w:pPr>
      <w:bookmarkStart w:id="5" w:name="_Toc210590040"/>
      <w:r w:rsidRPr="00A933F3">
        <w:rPr>
          <w:rFonts w:asciiTheme="majorHAnsi" w:eastAsia="Google Sans" w:hAnsiTheme="majorHAnsi" w:cstheme="majorHAnsi"/>
          <w:color w:val="1B1C1D"/>
        </w:rPr>
        <w:t>Стратегия преодоления: роль поставщика и международной кооперации</w:t>
      </w:r>
      <w:bookmarkEnd w:id="5"/>
    </w:p>
    <w:p w14:paraId="4A94CD08" w14:textId="1C0C5D45" w:rsidR="00A933F3" w:rsidRDefault="00000000" w:rsidP="00A933F3">
      <w:pPr>
        <w:pStyle w:val="3"/>
        <w:spacing w:before="0" w:after="120" w:line="275" w:lineRule="auto"/>
        <w:jc w:val="both"/>
        <w:rPr>
          <w:rFonts w:asciiTheme="majorHAnsi" w:eastAsia="Google Sans" w:hAnsiTheme="majorHAnsi" w:cstheme="majorHAnsi"/>
          <w:color w:val="1B1C1D"/>
        </w:rPr>
      </w:pPr>
      <w:bookmarkStart w:id="6" w:name="_Toc210590041"/>
      <w:r w:rsidRPr="00A933F3">
        <w:rPr>
          <w:rFonts w:asciiTheme="majorHAnsi" w:eastAsia="Google Sans" w:hAnsiTheme="majorHAnsi" w:cstheme="majorHAnsi"/>
          <w:color w:val="1B1C1D"/>
        </w:rPr>
        <w:t>Концепция «От колыбели до могилы» (from cradle to grave): новая парадигма ответственности</w:t>
      </w:r>
      <w:bookmarkEnd w:id="6"/>
    </w:p>
    <w:p w14:paraId="74FC3D2E" w14:textId="5C0518C9" w:rsidR="00862C1F" w:rsidRP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Традиционная модель строительства АЭС, при которой страна-заказчик получает объект «под ключ», а затем самостоятельно решает все проблемы, связанные с эксплуатацией, включая обращение с ОЯТ и вывод из эксплуатации, является неприемлемой для стран-новичков.</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Как показывает анализ, в большинстве случаев такие страны просто не способны надежно решить эти проблемы своими силами.</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Отсутствие инфраструктуры, законодательной базы и квалифицированных кадров создаёт системный барьер для реализации «ядерного ренессанса» в новых регионах.</w:t>
      </w:r>
      <w:r w:rsidRPr="00A933F3">
        <w:rPr>
          <w:rFonts w:asciiTheme="majorHAnsi" w:eastAsia="Google Sans Text" w:hAnsiTheme="majorHAnsi" w:cstheme="majorHAnsi"/>
          <w:color w:val="575B5F"/>
          <w:sz w:val="24"/>
          <w:szCs w:val="24"/>
          <w:vertAlign w:val="superscript"/>
        </w:rPr>
        <w:t>1</w:t>
      </w:r>
    </w:p>
    <w:p w14:paraId="62B55C7F" w14:textId="77777777" w:rsid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В связи с этим, эксперты предлагают новую парадигму ответственности, основанную на принципе «от колыбели до могилы».</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В этой модели конечная ответственность за судьбу ОЯТ и высокоактивных отходов (ВАО) возлагается на поставщика ядерно-энергетической установки и ядерного топлива.</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Такая схема, при которой поставки топлива сопровождаются гарантиями возврата ОЯТ для утилизации, не только снимает с страны-заказчика непосильную задачу, но и способствует уменьшению рисков аварий и укреплению режима нераспространения.</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Только поставщики с развитой инфраструктурой ЯТЦ и опытом работы по всему жизненному циклу, такие как Госкорпорация «Росатом», способны предоставить такую комплексную услугу.</w:t>
      </w:r>
      <w:r w:rsidRPr="00A933F3">
        <w:rPr>
          <w:rFonts w:asciiTheme="majorHAnsi" w:eastAsia="Google Sans Text" w:hAnsiTheme="majorHAnsi" w:cstheme="majorHAnsi"/>
          <w:color w:val="575B5F"/>
          <w:sz w:val="24"/>
          <w:szCs w:val="24"/>
          <w:vertAlign w:val="superscript"/>
        </w:rPr>
        <w:t>1</w:t>
      </w:r>
    </w:p>
    <w:p w14:paraId="3C9D890D" w14:textId="77777777" w:rsidR="00A933F3" w:rsidRDefault="00000000" w:rsidP="00A933F3">
      <w:pPr>
        <w:pStyle w:val="3"/>
        <w:spacing w:before="0" w:after="120" w:line="275" w:lineRule="auto"/>
        <w:jc w:val="both"/>
        <w:rPr>
          <w:rFonts w:asciiTheme="majorHAnsi" w:eastAsia="Google Sans" w:hAnsiTheme="majorHAnsi" w:cstheme="majorHAnsi"/>
          <w:color w:val="1B1C1D"/>
        </w:rPr>
      </w:pPr>
      <w:bookmarkStart w:id="7" w:name="_Toc210590042"/>
      <w:r w:rsidRPr="00A933F3">
        <w:rPr>
          <w:rFonts w:asciiTheme="majorHAnsi" w:eastAsia="Google Sans" w:hAnsiTheme="majorHAnsi" w:cstheme="majorHAnsi"/>
          <w:color w:val="1B1C1D"/>
        </w:rPr>
        <w:t>Многосторонние подходы и международные центры ЯТЦ</w:t>
      </w:r>
      <w:bookmarkEnd w:id="7"/>
    </w:p>
    <w:p w14:paraId="2BCB161C" w14:textId="62AA5C23" w:rsidR="00862C1F" w:rsidRP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 xml:space="preserve">Идея создания международных центров ядерного топливного цикла (ЯТЦ) обсуждается уже на </w:t>
      </w:r>
      <w:r w:rsidRPr="00A933F3">
        <w:rPr>
          <w:rFonts w:asciiTheme="majorHAnsi" w:eastAsia="Google Sans Text" w:hAnsiTheme="majorHAnsi" w:cstheme="majorHAnsi"/>
          <w:color w:val="1B1C1D"/>
        </w:rPr>
        <w:lastRenderedPageBreak/>
        <w:t>протяжении нескольких десятилетий.</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Такие многосторонние подходы позволяют объединить усилия для решения проблем, которые не под силу отдельным странам. Например, ассоциация</w:t>
      </w:r>
    </w:p>
    <w:p w14:paraId="291BEE5D" w14:textId="77777777" w:rsidR="00862C1F" w:rsidRP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ARIUS в Европе изучала возможность создания регионального хранилища для группы стран с небольшими мощностями АЭС, что могло бы принести значительную экономическую выгоду по сравнению с национальными проектами.</w:t>
      </w:r>
      <w:r w:rsidRPr="00A933F3">
        <w:rPr>
          <w:rFonts w:asciiTheme="majorHAnsi" w:eastAsia="Google Sans Text" w:hAnsiTheme="majorHAnsi" w:cstheme="majorHAnsi"/>
          <w:color w:val="575B5F"/>
          <w:sz w:val="24"/>
          <w:szCs w:val="24"/>
          <w:vertAlign w:val="superscript"/>
        </w:rPr>
        <w:t>1</w:t>
      </w:r>
    </w:p>
    <w:p w14:paraId="3CD147CE" w14:textId="77777777" w:rsid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Международные центры, предоставляющие услуги по обращению с ОЯТ и РАО, могут стать ключевым элементом новой архитектуры глобальной атомной энергетики.</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Это позволяет укрепить режим нераспространения и обеспечить безопасность, предоставляя «потребителям» доступ к необходимым услугам без необходимости создавать собственную «чувствительную» инфраструктуру.</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В этом контексте российские инициативы по созданию «Глобальной инфраструктуры мировой ядерной энергетики» рассматриваются как практический шаг, способный открыть новые возможности для международного сотрудничества.</w:t>
      </w:r>
      <w:r w:rsidRPr="00A933F3">
        <w:rPr>
          <w:rFonts w:asciiTheme="majorHAnsi" w:eastAsia="Google Sans Text" w:hAnsiTheme="majorHAnsi" w:cstheme="majorHAnsi"/>
          <w:color w:val="575B5F"/>
          <w:sz w:val="24"/>
          <w:szCs w:val="24"/>
          <w:vertAlign w:val="superscript"/>
        </w:rPr>
        <w:t>1</w:t>
      </w:r>
    </w:p>
    <w:p w14:paraId="33B539C5" w14:textId="77777777" w:rsidR="00A933F3" w:rsidRDefault="00000000" w:rsidP="00A933F3">
      <w:pPr>
        <w:pStyle w:val="3"/>
        <w:spacing w:before="0" w:after="120" w:line="275" w:lineRule="auto"/>
        <w:jc w:val="both"/>
        <w:rPr>
          <w:rFonts w:asciiTheme="majorHAnsi" w:eastAsia="Google Sans" w:hAnsiTheme="majorHAnsi" w:cstheme="majorHAnsi"/>
          <w:color w:val="1B1C1D"/>
        </w:rPr>
      </w:pPr>
      <w:bookmarkStart w:id="8" w:name="_Toc210590043"/>
      <w:r w:rsidRPr="00A933F3">
        <w:rPr>
          <w:rFonts w:asciiTheme="majorHAnsi" w:eastAsia="Google Sans" w:hAnsiTheme="majorHAnsi" w:cstheme="majorHAnsi"/>
          <w:color w:val="1B1C1D"/>
        </w:rPr>
        <w:t>Прагматичный выбор для Сербии: стратегическое партнерство с «Росатомом»</w:t>
      </w:r>
      <w:bookmarkEnd w:id="8"/>
    </w:p>
    <w:p w14:paraId="2FFC5FD1" w14:textId="77777777" w:rsid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Выбор партнера для строительства первой АЭС является критически важным для Сербии.</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Анализ показывает, что стратегическое партнерство с «Росатомом» представляет собой наиболее прагматичный выбор.</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Эта компания обладает не только референтными технологиями и опытом успешной реализации крупных проектов, но и несёт с собой «культуру безопасности, требования к квалификации персонала, строгую дисциплину документации и производства».</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Это не просто поставка оборудования, а импорт целостной экосистемы, которая снижает стартовые риски и позволяет Сербии сразу выйти на уровень отраслевого проекта, а не разовой стройки.</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Такое сотрудничество позволяет Сербии решить ключевые организационные и инфраструктурные проблемы, упомянутые в </w:t>
      </w:r>
      <w:r w:rsidRPr="00A933F3">
        <w:rPr>
          <w:rFonts w:asciiTheme="majorHAnsi" w:eastAsia="Google Sans Text" w:hAnsiTheme="majorHAnsi" w:cstheme="majorHAnsi"/>
          <w:color w:val="575B5F"/>
          <w:sz w:val="24"/>
          <w:szCs w:val="24"/>
          <w:vertAlign w:val="superscript"/>
        </w:rPr>
        <w:t>2</w:t>
      </w:r>
      <w:r w:rsidRPr="00A933F3">
        <w:rPr>
          <w:rFonts w:asciiTheme="majorHAnsi" w:eastAsia="Google Sans Text" w:hAnsiTheme="majorHAnsi" w:cstheme="majorHAnsi"/>
          <w:color w:val="1B1C1D"/>
        </w:rPr>
        <w:t>, включая вопросы долгосрочного управления ОЯТ и РАО.</w:t>
      </w:r>
    </w:p>
    <w:p w14:paraId="2BCF89D3" w14:textId="77777777" w:rsidR="00A933F3" w:rsidRDefault="00000000" w:rsidP="00A933F3">
      <w:pPr>
        <w:pStyle w:val="2"/>
        <w:spacing w:before="0" w:after="120" w:line="275" w:lineRule="auto"/>
        <w:jc w:val="both"/>
        <w:rPr>
          <w:rFonts w:asciiTheme="majorHAnsi" w:eastAsia="Google Sans" w:hAnsiTheme="majorHAnsi" w:cstheme="majorHAnsi"/>
          <w:color w:val="1B1C1D"/>
        </w:rPr>
      </w:pPr>
      <w:bookmarkStart w:id="9" w:name="_Toc210590044"/>
      <w:r w:rsidRPr="00A933F3">
        <w:rPr>
          <w:rFonts w:asciiTheme="majorHAnsi" w:eastAsia="Google Sans" w:hAnsiTheme="majorHAnsi" w:cstheme="majorHAnsi"/>
          <w:color w:val="1B1C1D"/>
        </w:rPr>
        <w:t>Локализация: уроки международного опыта и дорожная карта для Сербии</w:t>
      </w:r>
      <w:bookmarkEnd w:id="9"/>
    </w:p>
    <w:p w14:paraId="3E4CBEDE" w14:textId="6793CA94" w:rsidR="00A933F3" w:rsidRDefault="00000000" w:rsidP="00A933F3">
      <w:pPr>
        <w:pStyle w:val="3"/>
        <w:spacing w:before="0" w:after="120" w:line="275" w:lineRule="auto"/>
        <w:jc w:val="both"/>
        <w:rPr>
          <w:rFonts w:asciiTheme="majorHAnsi" w:eastAsia="Google Sans" w:hAnsiTheme="majorHAnsi" w:cstheme="majorHAnsi"/>
          <w:color w:val="1B1C1D"/>
        </w:rPr>
      </w:pPr>
      <w:bookmarkStart w:id="10" w:name="_Toc210590045"/>
      <w:r w:rsidRPr="00A933F3">
        <w:rPr>
          <w:rFonts w:asciiTheme="majorHAnsi" w:eastAsia="Google Sans" w:hAnsiTheme="majorHAnsi" w:cstheme="majorHAnsi"/>
          <w:color w:val="1B1C1D"/>
        </w:rPr>
        <w:t>Ключевые факторы успеха международного трансфера технологий</w:t>
      </w:r>
      <w:bookmarkEnd w:id="10"/>
    </w:p>
    <w:p w14:paraId="536464EC" w14:textId="427C86D0" w:rsidR="00862C1F" w:rsidRP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Истории успеха Франции, Южной Кореи и Китая, которые смогли построить собственную атомную индустрию, показывают, что ключевым элементом их стратегии был не просто импорт технологий, а их комплексный трансфер и локализация производства.</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Эти страны использовали емкость своего внутреннего рынка, чтобы требовать от поставщиков полномасштабных программ передачи технологий.</w:t>
      </w:r>
      <w:r w:rsidRPr="00A933F3">
        <w:rPr>
          <w:rFonts w:asciiTheme="majorHAnsi" w:eastAsia="Google Sans Text" w:hAnsiTheme="majorHAnsi" w:cstheme="majorHAnsi"/>
          <w:color w:val="575B5F"/>
          <w:sz w:val="24"/>
          <w:szCs w:val="24"/>
          <w:vertAlign w:val="superscript"/>
        </w:rPr>
        <w:t>1</w:t>
      </w:r>
    </w:p>
    <w:p w14:paraId="4D809A7C" w14:textId="77777777" w:rsidR="00862C1F" w:rsidRPr="00A933F3" w:rsidRDefault="00000000" w:rsidP="00A933F3">
      <w:pPr>
        <w:pBdr>
          <w:top w:val="nil"/>
          <w:left w:val="nil"/>
          <w:bottom w:val="nil"/>
          <w:right w:val="nil"/>
          <w:between w:val="nil"/>
        </w:pBdr>
        <w:spacing w:after="12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Ключевые факторы успеха включали:</w:t>
      </w:r>
    </w:p>
    <w:p w14:paraId="59B35E56" w14:textId="77777777" w:rsidR="00862C1F" w:rsidRPr="00A933F3" w:rsidRDefault="00000000" w:rsidP="00A933F3">
      <w:pPr>
        <w:numPr>
          <w:ilvl w:val="0"/>
          <w:numId w:val="1"/>
        </w:numPr>
        <w:pBdr>
          <w:top w:val="nil"/>
          <w:left w:val="nil"/>
          <w:bottom w:val="nil"/>
          <w:right w:val="nil"/>
          <w:between w:val="nil"/>
        </w:pBdr>
        <w:spacing w:line="275" w:lineRule="auto"/>
        <w:jc w:val="both"/>
        <w:rPr>
          <w:rFonts w:asciiTheme="majorHAnsi" w:hAnsiTheme="majorHAnsi" w:cstheme="majorHAnsi"/>
        </w:rPr>
      </w:pPr>
      <w:r w:rsidRPr="00A933F3">
        <w:rPr>
          <w:rFonts w:asciiTheme="majorHAnsi" w:eastAsia="Google Sans Text" w:hAnsiTheme="majorHAnsi" w:cstheme="majorHAnsi"/>
          <w:b/>
          <w:color w:val="1B1C1D"/>
        </w:rPr>
        <w:t>Руководящая роль правительства:</w:t>
      </w:r>
      <w:r w:rsidRPr="00A933F3">
        <w:rPr>
          <w:rFonts w:asciiTheme="majorHAnsi" w:eastAsia="Google Sans Text" w:hAnsiTheme="majorHAnsi" w:cstheme="majorHAnsi"/>
          <w:color w:val="1B1C1D"/>
        </w:rPr>
        <w:t xml:space="preserve"> Наличие долгосрочного правительственного плана по </w:t>
      </w:r>
      <w:r w:rsidRPr="00A933F3">
        <w:rPr>
          <w:rFonts w:asciiTheme="majorHAnsi" w:eastAsia="Google Sans Text" w:hAnsiTheme="majorHAnsi" w:cstheme="majorHAnsi"/>
          <w:color w:val="1B1C1D"/>
        </w:rPr>
        <w:lastRenderedPageBreak/>
        <w:t>развитию атомной энергетики и промышленности, охватывающего все отрасли.</w:t>
      </w:r>
      <w:r w:rsidRPr="00A933F3">
        <w:rPr>
          <w:rFonts w:asciiTheme="majorHAnsi" w:eastAsia="Google Sans Text" w:hAnsiTheme="majorHAnsi" w:cstheme="majorHAnsi"/>
          <w:color w:val="575B5F"/>
          <w:sz w:val="24"/>
          <w:szCs w:val="24"/>
          <w:vertAlign w:val="superscript"/>
        </w:rPr>
        <w:t>1</w:t>
      </w:r>
    </w:p>
    <w:p w14:paraId="5136FA88" w14:textId="77777777" w:rsidR="00862C1F" w:rsidRPr="00A933F3" w:rsidRDefault="00000000" w:rsidP="00A933F3">
      <w:pPr>
        <w:numPr>
          <w:ilvl w:val="0"/>
          <w:numId w:val="1"/>
        </w:numPr>
        <w:pBdr>
          <w:top w:val="nil"/>
          <w:left w:val="nil"/>
          <w:bottom w:val="nil"/>
          <w:right w:val="nil"/>
          <w:between w:val="nil"/>
        </w:pBdr>
        <w:spacing w:line="275" w:lineRule="auto"/>
        <w:jc w:val="both"/>
        <w:rPr>
          <w:rFonts w:asciiTheme="majorHAnsi" w:hAnsiTheme="majorHAnsi" w:cstheme="majorHAnsi"/>
        </w:rPr>
      </w:pPr>
      <w:r w:rsidRPr="00A933F3">
        <w:rPr>
          <w:rFonts w:asciiTheme="majorHAnsi" w:eastAsia="Google Sans Text" w:hAnsiTheme="majorHAnsi" w:cstheme="majorHAnsi"/>
          <w:b/>
          <w:color w:val="1B1C1D"/>
        </w:rPr>
        <w:t>Комплексный подход:</w:t>
      </w:r>
      <w:r w:rsidRPr="00A933F3">
        <w:rPr>
          <w:rFonts w:asciiTheme="majorHAnsi" w:eastAsia="Google Sans Text" w:hAnsiTheme="majorHAnsi" w:cstheme="majorHAnsi"/>
          <w:color w:val="1B1C1D"/>
        </w:rPr>
        <w:t xml:space="preserve"> Работы по проектированию и строительству АЭС реализовывались параллельно с обучением, передачей технической документации и программного обеспечения.</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Взаимодействие осуществлялось через лицензионные соглашения и создание совместных предприятий с обязательным участием национальных компаний.</w:t>
      </w:r>
      <w:r w:rsidRPr="00A933F3">
        <w:rPr>
          <w:rFonts w:asciiTheme="majorHAnsi" w:eastAsia="Google Sans Text" w:hAnsiTheme="majorHAnsi" w:cstheme="majorHAnsi"/>
          <w:color w:val="575B5F"/>
          <w:sz w:val="24"/>
          <w:szCs w:val="24"/>
          <w:vertAlign w:val="superscript"/>
        </w:rPr>
        <w:t>1</w:t>
      </w:r>
    </w:p>
    <w:p w14:paraId="453625D2" w14:textId="77777777" w:rsidR="00862C1F" w:rsidRPr="00A933F3" w:rsidRDefault="00000000" w:rsidP="00A933F3">
      <w:pPr>
        <w:numPr>
          <w:ilvl w:val="0"/>
          <w:numId w:val="1"/>
        </w:numPr>
        <w:pBdr>
          <w:top w:val="nil"/>
          <w:left w:val="nil"/>
          <w:bottom w:val="nil"/>
          <w:right w:val="nil"/>
          <w:between w:val="nil"/>
        </w:pBdr>
        <w:spacing w:line="275" w:lineRule="auto"/>
        <w:jc w:val="both"/>
        <w:rPr>
          <w:rFonts w:asciiTheme="majorHAnsi" w:hAnsiTheme="majorHAnsi" w:cstheme="majorHAnsi"/>
        </w:rPr>
      </w:pPr>
      <w:r w:rsidRPr="00A933F3">
        <w:rPr>
          <w:rFonts w:asciiTheme="majorHAnsi" w:eastAsia="Google Sans Text" w:hAnsiTheme="majorHAnsi" w:cstheme="majorHAnsi"/>
          <w:b/>
          <w:color w:val="1B1C1D"/>
        </w:rPr>
        <w:t>Активная роль национальных компаний:</w:t>
      </w:r>
      <w:r w:rsidRPr="00A933F3">
        <w:rPr>
          <w:rFonts w:asciiTheme="majorHAnsi" w:eastAsia="Google Sans Text" w:hAnsiTheme="majorHAnsi" w:cstheme="majorHAnsi"/>
          <w:color w:val="1B1C1D"/>
        </w:rPr>
        <w:t xml:space="preserve"> В этих странах национальные компании, часто государственные, играли центральную роль в управлении программой и её реализации.</w:t>
      </w:r>
      <w:r w:rsidRPr="00A933F3">
        <w:rPr>
          <w:rFonts w:asciiTheme="majorHAnsi" w:eastAsia="Google Sans Text" w:hAnsiTheme="majorHAnsi" w:cstheme="majorHAnsi"/>
          <w:color w:val="575B5F"/>
          <w:sz w:val="24"/>
          <w:szCs w:val="24"/>
          <w:vertAlign w:val="superscript"/>
        </w:rPr>
        <w:t>1</w:t>
      </w:r>
    </w:p>
    <w:p w14:paraId="4955D124" w14:textId="77777777" w:rsidR="00862C1F" w:rsidRPr="00A933F3" w:rsidRDefault="00000000" w:rsidP="00A933F3">
      <w:pPr>
        <w:numPr>
          <w:ilvl w:val="0"/>
          <w:numId w:val="1"/>
        </w:numPr>
        <w:pBdr>
          <w:top w:val="nil"/>
          <w:left w:val="nil"/>
          <w:bottom w:val="nil"/>
          <w:right w:val="nil"/>
          <w:between w:val="nil"/>
        </w:pBdr>
        <w:spacing w:after="120" w:line="275" w:lineRule="auto"/>
        <w:jc w:val="both"/>
        <w:rPr>
          <w:rFonts w:asciiTheme="majorHAnsi" w:hAnsiTheme="majorHAnsi" w:cstheme="majorHAnsi"/>
        </w:rPr>
      </w:pPr>
      <w:r w:rsidRPr="00A933F3">
        <w:rPr>
          <w:rFonts w:asciiTheme="majorHAnsi" w:eastAsia="Google Sans Text" w:hAnsiTheme="majorHAnsi" w:cstheme="majorHAnsi"/>
          <w:b/>
          <w:color w:val="1B1C1D"/>
        </w:rPr>
        <w:t>Поддержка общественности:</w:t>
      </w:r>
      <w:r w:rsidRPr="00A933F3">
        <w:rPr>
          <w:rFonts w:asciiTheme="majorHAnsi" w:eastAsia="Google Sans Text" w:hAnsiTheme="majorHAnsi" w:cstheme="majorHAnsi"/>
          <w:color w:val="1B1C1D"/>
        </w:rPr>
        <w:t xml:space="preserve"> Общество приветствовало развитие национальной атомной индустрии, видя в ней гарант энергетической и технологической независимости.</w:t>
      </w:r>
      <w:r w:rsidRPr="00A933F3">
        <w:rPr>
          <w:rFonts w:asciiTheme="majorHAnsi" w:eastAsia="Google Sans Text" w:hAnsiTheme="majorHAnsi" w:cstheme="majorHAnsi"/>
          <w:color w:val="575B5F"/>
          <w:sz w:val="24"/>
          <w:szCs w:val="24"/>
          <w:vertAlign w:val="superscript"/>
        </w:rPr>
        <w:t>1</w:t>
      </w:r>
    </w:p>
    <w:p w14:paraId="256EBD05" w14:textId="77777777" w:rsidR="00A933F3" w:rsidRDefault="00000000" w:rsidP="00A933F3">
      <w:pPr>
        <w:pBdr>
          <w:top w:val="nil"/>
          <w:left w:val="nil"/>
          <w:bottom w:val="nil"/>
          <w:right w:val="nil"/>
          <w:between w:val="nil"/>
        </w:pBdr>
        <w:spacing w:before="240" w:after="24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Для Сербии, не обладающей рынком такого масштаба, как Китай, критически важным становится выбор партнера, изначально ориентированного на передачу компетенций, а не только на продажу оборудования.</w:t>
      </w:r>
    </w:p>
    <w:p w14:paraId="17A1EE3F" w14:textId="77777777" w:rsidR="00A933F3" w:rsidRDefault="00000000" w:rsidP="00A933F3">
      <w:pPr>
        <w:pStyle w:val="3"/>
        <w:spacing w:before="0" w:after="120" w:line="275" w:lineRule="auto"/>
        <w:jc w:val="both"/>
        <w:rPr>
          <w:rFonts w:asciiTheme="majorHAnsi" w:eastAsia="Google Sans" w:hAnsiTheme="majorHAnsi" w:cstheme="majorHAnsi"/>
          <w:color w:val="1B1C1D"/>
        </w:rPr>
      </w:pPr>
      <w:bookmarkStart w:id="11" w:name="_Toc210590046"/>
      <w:r w:rsidRPr="00A933F3">
        <w:rPr>
          <w:rFonts w:asciiTheme="majorHAnsi" w:eastAsia="Google Sans" w:hAnsiTheme="majorHAnsi" w:cstheme="majorHAnsi"/>
          <w:color w:val="1B1C1D"/>
        </w:rPr>
        <w:t>Локализация как драйвер экономического и технологического развития Сербии</w:t>
      </w:r>
      <w:bookmarkEnd w:id="11"/>
    </w:p>
    <w:p w14:paraId="212ECD11" w14:textId="245623A3" w:rsidR="00862C1F" w:rsidRP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Локализация производства — это не просто экономия, а стратегический инструмент для обеспечения устойчивости проекта и создания долгосрочного мультипликативного эффекта.</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Каждый процент локализации эквивалентен миллионам евро, которые остаются внутри страны, превращаясь в рабочие места, налоги и новые производства.</w:t>
      </w:r>
      <w:r w:rsidRPr="00A933F3">
        <w:rPr>
          <w:rFonts w:asciiTheme="majorHAnsi" w:eastAsia="Google Sans Text" w:hAnsiTheme="majorHAnsi" w:cstheme="majorHAnsi"/>
          <w:color w:val="575B5F"/>
          <w:sz w:val="24"/>
          <w:szCs w:val="24"/>
          <w:vertAlign w:val="superscript"/>
        </w:rPr>
        <w:t>1</w:t>
      </w:r>
    </w:p>
    <w:p w14:paraId="1B7DBBA7" w14:textId="77777777" w:rsidR="00862C1F" w:rsidRPr="00A933F3" w:rsidRDefault="00000000" w:rsidP="00A933F3">
      <w:pPr>
        <w:pBdr>
          <w:top w:val="nil"/>
          <w:left w:val="nil"/>
          <w:bottom w:val="nil"/>
          <w:right w:val="nil"/>
          <w:between w:val="nil"/>
        </w:pBdr>
        <w:spacing w:after="12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Участие в проекте АЭС открывает для сербских компаний уникальные возможности в следующих направлениях:</w:t>
      </w:r>
    </w:p>
    <w:p w14:paraId="4194AB2B" w14:textId="77777777" w:rsidR="00862C1F" w:rsidRPr="00A933F3" w:rsidRDefault="00000000" w:rsidP="00A933F3">
      <w:pPr>
        <w:numPr>
          <w:ilvl w:val="0"/>
          <w:numId w:val="2"/>
        </w:numPr>
        <w:pBdr>
          <w:top w:val="nil"/>
          <w:left w:val="nil"/>
          <w:bottom w:val="nil"/>
          <w:right w:val="nil"/>
          <w:between w:val="nil"/>
        </w:pBdr>
        <w:spacing w:line="275" w:lineRule="auto"/>
        <w:jc w:val="both"/>
        <w:rPr>
          <w:rFonts w:asciiTheme="majorHAnsi" w:hAnsiTheme="majorHAnsi" w:cstheme="majorHAnsi"/>
        </w:rPr>
      </w:pPr>
      <w:r w:rsidRPr="00A933F3">
        <w:rPr>
          <w:rFonts w:asciiTheme="majorHAnsi" w:eastAsia="Google Sans Text" w:hAnsiTheme="majorHAnsi" w:cstheme="majorHAnsi"/>
          <w:b/>
          <w:color w:val="1B1C1D"/>
        </w:rPr>
        <w:t>Строительство и инфраструктура:</w:t>
      </w:r>
      <w:r w:rsidRPr="00A933F3">
        <w:rPr>
          <w:rFonts w:asciiTheme="majorHAnsi" w:eastAsia="Google Sans Text" w:hAnsiTheme="majorHAnsi" w:cstheme="majorHAnsi"/>
          <w:color w:val="1B1C1D"/>
        </w:rPr>
        <w:t xml:space="preserve"> земляные и бетонные работы, металлоконструкции, логистика, временное жильё.</w:t>
      </w:r>
      <w:r w:rsidRPr="00A933F3">
        <w:rPr>
          <w:rFonts w:asciiTheme="majorHAnsi" w:eastAsia="Google Sans Text" w:hAnsiTheme="majorHAnsi" w:cstheme="majorHAnsi"/>
          <w:color w:val="575B5F"/>
          <w:sz w:val="24"/>
          <w:szCs w:val="24"/>
          <w:vertAlign w:val="superscript"/>
        </w:rPr>
        <w:t>1</w:t>
      </w:r>
    </w:p>
    <w:p w14:paraId="7F775E9E" w14:textId="77777777" w:rsidR="00862C1F" w:rsidRPr="00A933F3" w:rsidRDefault="00000000" w:rsidP="00A933F3">
      <w:pPr>
        <w:numPr>
          <w:ilvl w:val="0"/>
          <w:numId w:val="2"/>
        </w:numPr>
        <w:pBdr>
          <w:top w:val="nil"/>
          <w:left w:val="nil"/>
          <w:bottom w:val="nil"/>
          <w:right w:val="nil"/>
          <w:between w:val="nil"/>
        </w:pBdr>
        <w:spacing w:line="275" w:lineRule="auto"/>
        <w:jc w:val="both"/>
        <w:rPr>
          <w:rFonts w:asciiTheme="majorHAnsi" w:hAnsiTheme="majorHAnsi" w:cstheme="majorHAnsi"/>
        </w:rPr>
      </w:pPr>
      <w:r w:rsidRPr="00A933F3">
        <w:rPr>
          <w:rFonts w:asciiTheme="majorHAnsi" w:eastAsia="Google Sans Text" w:hAnsiTheme="majorHAnsi" w:cstheme="majorHAnsi"/>
          <w:b/>
          <w:color w:val="1B1C1D"/>
        </w:rPr>
        <w:t>Машиностроение и электротехника:</w:t>
      </w:r>
      <w:r w:rsidRPr="00A933F3">
        <w:rPr>
          <w:rFonts w:asciiTheme="majorHAnsi" w:eastAsia="Google Sans Text" w:hAnsiTheme="majorHAnsi" w:cstheme="majorHAnsi"/>
          <w:color w:val="1B1C1D"/>
        </w:rPr>
        <w:t xml:space="preserve"> насосы и арматура неядерных классов, КИПиА, трансформаторы, системы АСУ ТП и кибербезопасность.</w:t>
      </w:r>
      <w:r w:rsidRPr="00A933F3">
        <w:rPr>
          <w:rFonts w:asciiTheme="majorHAnsi" w:eastAsia="Google Sans Text" w:hAnsiTheme="majorHAnsi" w:cstheme="majorHAnsi"/>
          <w:color w:val="575B5F"/>
          <w:sz w:val="24"/>
          <w:szCs w:val="24"/>
          <w:vertAlign w:val="superscript"/>
        </w:rPr>
        <w:t>1</w:t>
      </w:r>
    </w:p>
    <w:p w14:paraId="2175D6FA" w14:textId="77777777" w:rsidR="00862C1F" w:rsidRPr="00A933F3" w:rsidRDefault="00000000" w:rsidP="00A933F3">
      <w:pPr>
        <w:numPr>
          <w:ilvl w:val="0"/>
          <w:numId w:val="2"/>
        </w:numPr>
        <w:pBdr>
          <w:top w:val="nil"/>
          <w:left w:val="nil"/>
          <w:bottom w:val="nil"/>
          <w:right w:val="nil"/>
          <w:between w:val="nil"/>
        </w:pBdr>
        <w:spacing w:after="120" w:line="275" w:lineRule="auto"/>
        <w:jc w:val="both"/>
        <w:rPr>
          <w:rFonts w:asciiTheme="majorHAnsi" w:hAnsiTheme="majorHAnsi" w:cstheme="majorHAnsi"/>
        </w:rPr>
      </w:pPr>
      <w:r w:rsidRPr="00A933F3">
        <w:rPr>
          <w:rFonts w:asciiTheme="majorHAnsi" w:eastAsia="Google Sans Text" w:hAnsiTheme="majorHAnsi" w:cstheme="majorHAnsi"/>
          <w:b/>
          <w:color w:val="1B1C1D"/>
        </w:rPr>
        <w:t>Эксплуатация и сервис:</w:t>
      </w:r>
      <w:r w:rsidRPr="00A933F3">
        <w:rPr>
          <w:rFonts w:asciiTheme="majorHAnsi" w:eastAsia="Google Sans Text" w:hAnsiTheme="majorHAnsi" w:cstheme="majorHAnsi"/>
          <w:color w:val="1B1C1D"/>
        </w:rPr>
        <w:t xml:space="preserve"> обслуживание турбинного и электротехнического оборудования, диагностика, химводоочистка.</w:t>
      </w:r>
      <w:r w:rsidRPr="00A933F3">
        <w:rPr>
          <w:rFonts w:asciiTheme="majorHAnsi" w:eastAsia="Google Sans Text" w:hAnsiTheme="majorHAnsi" w:cstheme="majorHAnsi"/>
          <w:color w:val="575B5F"/>
          <w:sz w:val="24"/>
          <w:szCs w:val="24"/>
          <w:vertAlign w:val="superscript"/>
        </w:rPr>
        <w:t>1</w:t>
      </w:r>
    </w:p>
    <w:p w14:paraId="6AFE14EF" w14:textId="77777777" w:rsidR="00A933F3" w:rsidRDefault="00000000" w:rsidP="00A933F3">
      <w:pPr>
        <w:pBdr>
          <w:top w:val="nil"/>
          <w:left w:val="nil"/>
          <w:bottom w:val="nil"/>
          <w:right w:val="nil"/>
          <w:between w:val="nil"/>
        </w:pBdr>
        <w:spacing w:before="240"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 xml:space="preserve">Опыт строительства АЭС «Аккую» в Турции, где доля локализации достигла 47-56% </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является референтным примером, демонстрирующим, что сербские компании не только могут, но и должны стать частью международной цепочки поставок.</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Пройдя эту «школу», они смогут выйти в новую лигу, интегрироваться в международную кооперацию и получить стабильный портфель заказов на десятилетия.</w:t>
      </w:r>
      <w:r w:rsidRPr="00A933F3">
        <w:rPr>
          <w:rFonts w:asciiTheme="majorHAnsi" w:eastAsia="Google Sans Text" w:hAnsiTheme="majorHAnsi" w:cstheme="majorHAnsi"/>
          <w:color w:val="575B5F"/>
          <w:sz w:val="24"/>
          <w:szCs w:val="24"/>
          <w:vertAlign w:val="superscript"/>
        </w:rPr>
        <w:t>1</w:t>
      </w:r>
    </w:p>
    <w:p w14:paraId="77D60146" w14:textId="77777777" w:rsidR="00A933F3" w:rsidRDefault="00A933F3">
      <w:pPr>
        <w:rPr>
          <w:rFonts w:asciiTheme="majorHAnsi" w:eastAsia="Google Sans" w:hAnsiTheme="majorHAnsi" w:cstheme="majorHAnsi"/>
          <w:b/>
          <w:color w:val="1B1C1D"/>
          <w:sz w:val="36"/>
          <w:szCs w:val="36"/>
        </w:rPr>
      </w:pPr>
      <w:bookmarkStart w:id="12" w:name="_Toc210590047"/>
      <w:r>
        <w:rPr>
          <w:rFonts w:asciiTheme="majorHAnsi" w:eastAsia="Google Sans" w:hAnsiTheme="majorHAnsi" w:cstheme="majorHAnsi"/>
          <w:color w:val="1B1C1D"/>
        </w:rPr>
        <w:br w:type="page"/>
      </w:r>
    </w:p>
    <w:p w14:paraId="6890C38E" w14:textId="68ED6F5C" w:rsidR="00A933F3" w:rsidRDefault="00000000" w:rsidP="00A933F3">
      <w:pPr>
        <w:pStyle w:val="2"/>
        <w:spacing w:before="0" w:after="120" w:line="275" w:lineRule="auto"/>
        <w:jc w:val="both"/>
        <w:rPr>
          <w:rFonts w:asciiTheme="majorHAnsi" w:eastAsia="Google Sans" w:hAnsiTheme="majorHAnsi" w:cstheme="majorHAnsi"/>
          <w:color w:val="1B1C1D"/>
        </w:rPr>
      </w:pPr>
      <w:r w:rsidRPr="00A933F3">
        <w:rPr>
          <w:rFonts w:asciiTheme="majorHAnsi" w:eastAsia="Google Sans" w:hAnsiTheme="majorHAnsi" w:cstheme="majorHAnsi"/>
          <w:color w:val="1B1C1D"/>
        </w:rPr>
        <w:lastRenderedPageBreak/>
        <w:t>Создание национальной «ядерной школы»: мультипликативный эффект проекта</w:t>
      </w:r>
      <w:bookmarkEnd w:id="12"/>
    </w:p>
    <w:p w14:paraId="3A8240EA" w14:textId="53E7395F" w:rsidR="00A933F3" w:rsidRDefault="00000000" w:rsidP="00A933F3">
      <w:pPr>
        <w:pStyle w:val="3"/>
        <w:spacing w:before="0" w:after="120" w:line="275" w:lineRule="auto"/>
        <w:jc w:val="both"/>
        <w:rPr>
          <w:rFonts w:asciiTheme="majorHAnsi" w:eastAsia="Google Sans" w:hAnsiTheme="majorHAnsi" w:cstheme="majorHAnsi"/>
          <w:color w:val="1B1C1D"/>
        </w:rPr>
      </w:pPr>
      <w:bookmarkStart w:id="13" w:name="_Toc210590048"/>
      <w:r w:rsidRPr="00A933F3">
        <w:rPr>
          <w:rFonts w:asciiTheme="majorHAnsi" w:eastAsia="Google Sans" w:hAnsiTheme="majorHAnsi" w:cstheme="majorHAnsi"/>
          <w:color w:val="1B1C1D"/>
        </w:rPr>
        <w:t>Кадровый потенциал и образование</w:t>
      </w:r>
      <w:bookmarkEnd w:id="13"/>
    </w:p>
    <w:p w14:paraId="7034CB41" w14:textId="77777777" w:rsid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Успешная реализация проекта АЭС напрямую зависит от наличия квалифицированного персонала.</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Поэтому строительство станции должно сопровождаться созданием собственной «ядерной школы» в Сербии.</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Это потребует перестройки образовательных программ в университетах и учебных центрах, чтобы они могли готовить специалистов для работы на АЭС, охватывая такие сферы, как физика, химия радиационных процессов, метрология и контроль качества.</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Совместные проекты с иностранными партнерами, в свою очередь, ускорят передачу технологий и компетенций.</w:t>
      </w:r>
      <w:r w:rsidRPr="00A933F3">
        <w:rPr>
          <w:rFonts w:asciiTheme="majorHAnsi" w:eastAsia="Google Sans Text" w:hAnsiTheme="majorHAnsi" w:cstheme="majorHAnsi"/>
          <w:color w:val="575B5F"/>
          <w:sz w:val="24"/>
          <w:szCs w:val="24"/>
          <w:vertAlign w:val="superscript"/>
        </w:rPr>
        <w:t>1</w:t>
      </w:r>
    </w:p>
    <w:p w14:paraId="584E2C70" w14:textId="77777777" w:rsidR="00A933F3" w:rsidRDefault="00000000" w:rsidP="00A933F3">
      <w:pPr>
        <w:pStyle w:val="3"/>
        <w:spacing w:before="0" w:after="120" w:line="275" w:lineRule="auto"/>
        <w:jc w:val="both"/>
        <w:rPr>
          <w:rFonts w:asciiTheme="majorHAnsi" w:eastAsia="Google Sans" w:hAnsiTheme="majorHAnsi" w:cstheme="majorHAnsi"/>
          <w:color w:val="1B1C1D"/>
        </w:rPr>
      </w:pPr>
      <w:bookmarkStart w:id="14" w:name="_Toc210590049"/>
      <w:r w:rsidRPr="00A933F3">
        <w:rPr>
          <w:rFonts w:asciiTheme="majorHAnsi" w:eastAsia="Google Sans" w:hAnsiTheme="majorHAnsi" w:cstheme="majorHAnsi"/>
          <w:color w:val="1B1C1D"/>
        </w:rPr>
        <w:t>Формирование отраслевых кластеров</w:t>
      </w:r>
      <w:bookmarkEnd w:id="14"/>
    </w:p>
    <w:p w14:paraId="3CD2C75C" w14:textId="34666C1C" w:rsidR="00862C1F" w:rsidRPr="00A933F3" w:rsidRDefault="00000000" w:rsidP="00A933F3">
      <w:pPr>
        <w:pBdr>
          <w:top w:val="nil"/>
          <w:left w:val="nil"/>
          <w:bottom w:val="nil"/>
          <w:right w:val="nil"/>
          <w:between w:val="nil"/>
        </w:pBdr>
        <w:spacing w:after="12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Строительство АЭС станет мощным «якорем» для формирования вокруг неё специализированных отраслевых кластеров.</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Это позволит Сербии стать центром компетенций в регионе.</w:t>
      </w:r>
    </w:p>
    <w:p w14:paraId="7D36E770" w14:textId="77777777" w:rsidR="00862C1F" w:rsidRPr="00A933F3" w:rsidRDefault="00000000" w:rsidP="00A933F3">
      <w:pPr>
        <w:numPr>
          <w:ilvl w:val="0"/>
          <w:numId w:val="3"/>
        </w:numPr>
        <w:pBdr>
          <w:top w:val="nil"/>
          <w:left w:val="nil"/>
          <w:bottom w:val="nil"/>
          <w:right w:val="nil"/>
          <w:between w:val="nil"/>
        </w:pBdr>
        <w:spacing w:line="275" w:lineRule="auto"/>
        <w:jc w:val="both"/>
        <w:rPr>
          <w:rFonts w:asciiTheme="majorHAnsi" w:hAnsiTheme="majorHAnsi" w:cstheme="majorHAnsi"/>
        </w:rPr>
      </w:pPr>
      <w:r w:rsidRPr="00A933F3">
        <w:rPr>
          <w:rFonts w:asciiTheme="majorHAnsi" w:eastAsia="Google Sans Text" w:hAnsiTheme="majorHAnsi" w:cstheme="majorHAnsi"/>
          <w:b/>
          <w:color w:val="1B1C1D"/>
        </w:rPr>
        <w:t>Энергетический кластер:</w:t>
      </w:r>
      <w:r w:rsidRPr="00A933F3">
        <w:rPr>
          <w:rFonts w:asciiTheme="majorHAnsi" w:eastAsia="Google Sans Text" w:hAnsiTheme="majorHAnsi" w:cstheme="majorHAnsi"/>
          <w:color w:val="1B1C1D"/>
        </w:rPr>
        <w:t xml:space="preserve"> Предприятия, производящие и обслуживающие оборудование для атомной отрасли.</w:t>
      </w:r>
      <w:r w:rsidRPr="00A933F3">
        <w:rPr>
          <w:rFonts w:asciiTheme="majorHAnsi" w:eastAsia="Google Sans Text" w:hAnsiTheme="majorHAnsi" w:cstheme="majorHAnsi"/>
          <w:color w:val="575B5F"/>
          <w:sz w:val="24"/>
          <w:szCs w:val="24"/>
          <w:vertAlign w:val="superscript"/>
        </w:rPr>
        <w:t>1</w:t>
      </w:r>
    </w:p>
    <w:p w14:paraId="3E59BDC8" w14:textId="77777777" w:rsidR="00862C1F" w:rsidRPr="00A933F3" w:rsidRDefault="00000000" w:rsidP="00A933F3">
      <w:pPr>
        <w:numPr>
          <w:ilvl w:val="0"/>
          <w:numId w:val="3"/>
        </w:numPr>
        <w:pBdr>
          <w:top w:val="nil"/>
          <w:left w:val="nil"/>
          <w:bottom w:val="nil"/>
          <w:right w:val="nil"/>
          <w:between w:val="nil"/>
        </w:pBdr>
        <w:spacing w:line="275" w:lineRule="auto"/>
        <w:jc w:val="both"/>
        <w:rPr>
          <w:rFonts w:asciiTheme="majorHAnsi" w:hAnsiTheme="majorHAnsi" w:cstheme="majorHAnsi"/>
        </w:rPr>
      </w:pPr>
      <w:r w:rsidRPr="00A933F3">
        <w:rPr>
          <w:rFonts w:asciiTheme="majorHAnsi" w:eastAsia="Google Sans Text" w:hAnsiTheme="majorHAnsi" w:cstheme="majorHAnsi"/>
          <w:b/>
          <w:color w:val="1B1C1D"/>
        </w:rPr>
        <w:t>Научно-образовательный кластер:</w:t>
      </w:r>
      <w:r w:rsidRPr="00A933F3">
        <w:rPr>
          <w:rFonts w:asciiTheme="majorHAnsi" w:eastAsia="Google Sans Text" w:hAnsiTheme="majorHAnsi" w:cstheme="majorHAnsi"/>
          <w:color w:val="1B1C1D"/>
        </w:rPr>
        <w:t xml:space="preserve"> Учебные заведения и исследовательские центры, сфокусированные на ядерной энергетике.</w:t>
      </w:r>
      <w:r w:rsidRPr="00A933F3">
        <w:rPr>
          <w:rFonts w:asciiTheme="majorHAnsi" w:eastAsia="Google Sans Text" w:hAnsiTheme="majorHAnsi" w:cstheme="majorHAnsi"/>
          <w:color w:val="575B5F"/>
          <w:sz w:val="24"/>
          <w:szCs w:val="24"/>
          <w:vertAlign w:val="superscript"/>
        </w:rPr>
        <w:t>1</w:t>
      </w:r>
    </w:p>
    <w:p w14:paraId="13D27282" w14:textId="77777777" w:rsidR="00862C1F" w:rsidRPr="00A933F3" w:rsidRDefault="00000000" w:rsidP="00A933F3">
      <w:pPr>
        <w:numPr>
          <w:ilvl w:val="0"/>
          <w:numId w:val="3"/>
        </w:numPr>
        <w:pBdr>
          <w:top w:val="nil"/>
          <w:left w:val="nil"/>
          <w:bottom w:val="nil"/>
          <w:right w:val="nil"/>
          <w:between w:val="nil"/>
        </w:pBdr>
        <w:spacing w:line="275" w:lineRule="auto"/>
        <w:jc w:val="both"/>
        <w:rPr>
          <w:rFonts w:asciiTheme="majorHAnsi" w:hAnsiTheme="majorHAnsi" w:cstheme="majorHAnsi"/>
        </w:rPr>
      </w:pPr>
      <w:r w:rsidRPr="00A933F3">
        <w:rPr>
          <w:rFonts w:asciiTheme="majorHAnsi" w:eastAsia="Google Sans Text" w:hAnsiTheme="majorHAnsi" w:cstheme="majorHAnsi"/>
          <w:b/>
          <w:color w:val="1B1C1D"/>
        </w:rPr>
        <w:t>Эколого-мониторинговый кластер:</w:t>
      </w:r>
      <w:r w:rsidRPr="00A933F3">
        <w:rPr>
          <w:rFonts w:asciiTheme="majorHAnsi" w:eastAsia="Google Sans Text" w:hAnsiTheme="majorHAnsi" w:cstheme="majorHAnsi"/>
          <w:color w:val="1B1C1D"/>
        </w:rPr>
        <w:t xml:space="preserve"> Компании, занимающиеся контролем состояния окружающей среды, воды и воздуха.</w:t>
      </w:r>
      <w:r w:rsidRPr="00A933F3">
        <w:rPr>
          <w:rFonts w:asciiTheme="majorHAnsi" w:eastAsia="Google Sans Text" w:hAnsiTheme="majorHAnsi" w:cstheme="majorHAnsi"/>
          <w:color w:val="575B5F"/>
          <w:sz w:val="24"/>
          <w:szCs w:val="24"/>
          <w:vertAlign w:val="superscript"/>
        </w:rPr>
        <w:t>1</w:t>
      </w:r>
    </w:p>
    <w:p w14:paraId="3A7A1677" w14:textId="77777777" w:rsidR="00A933F3" w:rsidRDefault="00000000" w:rsidP="00A933F3">
      <w:pPr>
        <w:numPr>
          <w:ilvl w:val="0"/>
          <w:numId w:val="3"/>
        </w:numPr>
        <w:pBdr>
          <w:top w:val="nil"/>
          <w:left w:val="nil"/>
          <w:bottom w:val="nil"/>
          <w:right w:val="nil"/>
          <w:between w:val="nil"/>
        </w:pBdr>
        <w:spacing w:after="120" w:line="275" w:lineRule="auto"/>
        <w:jc w:val="both"/>
        <w:rPr>
          <w:rFonts w:asciiTheme="majorHAnsi" w:hAnsiTheme="majorHAnsi" w:cstheme="majorHAnsi"/>
        </w:rPr>
      </w:pPr>
      <w:r w:rsidRPr="00A933F3">
        <w:rPr>
          <w:rFonts w:asciiTheme="majorHAnsi" w:eastAsia="Google Sans Text" w:hAnsiTheme="majorHAnsi" w:cstheme="majorHAnsi"/>
          <w:b/>
          <w:color w:val="1B1C1D"/>
        </w:rPr>
        <w:t>Сервисный кластер:</w:t>
      </w:r>
      <w:r w:rsidRPr="00A933F3">
        <w:rPr>
          <w:rFonts w:asciiTheme="majorHAnsi" w:eastAsia="Google Sans Text" w:hAnsiTheme="majorHAnsi" w:cstheme="majorHAnsi"/>
          <w:color w:val="1B1C1D"/>
        </w:rPr>
        <w:t xml:space="preserve"> Малый и средний бизнес в сфере услуг, который будет обслуживать потребности растущего числа работников и их семей.</w:t>
      </w:r>
      <w:r w:rsidRPr="00A933F3">
        <w:rPr>
          <w:rFonts w:asciiTheme="majorHAnsi" w:eastAsia="Google Sans Text" w:hAnsiTheme="majorHAnsi" w:cstheme="majorHAnsi"/>
          <w:color w:val="575B5F"/>
          <w:sz w:val="24"/>
          <w:szCs w:val="24"/>
          <w:vertAlign w:val="superscript"/>
        </w:rPr>
        <w:t>1</w:t>
      </w:r>
    </w:p>
    <w:p w14:paraId="79E0B65A" w14:textId="77777777" w:rsidR="00A933F3" w:rsidRDefault="00000000" w:rsidP="00A933F3">
      <w:pPr>
        <w:pStyle w:val="3"/>
        <w:spacing w:before="0" w:after="120" w:line="275" w:lineRule="auto"/>
        <w:jc w:val="both"/>
        <w:rPr>
          <w:rFonts w:asciiTheme="majorHAnsi" w:eastAsia="Google Sans" w:hAnsiTheme="majorHAnsi" w:cstheme="majorHAnsi"/>
          <w:color w:val="1B1C1D"/>
        </w:rPr>
      </w:pPr>
      <w:bookmarkStart w:id="15" w:name="_Toc210590050"/>
      <w:r w:rsidRPr="00A933F3">
        <w:rPr>
          <w:rFonts w:asciiTheme="majorHAnsi" w:eastAsia="Google Sans" w:hAnsiTheme="majorHAnsi" w:cstheme="majorHAnsi"/>
          <w:color w:val="1B1C1D"/>
        </w:rPr>
        <w:t>Организационное решение: проектный офис как «единое окно»</w:t>
      </w:r>
      <w:bookmarkEnd w:id="15"/>
    </w:p>
    <w:p w14:paraId="094C30CF" w14:textId="78BCB10A" w:rsidR="00862C1F" w:rsidRP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Для эффективного управления процессом локализации Consilio B Consulting Bureau предлагает создание совместного проектного офиса с заинтересованными сербскими компаниями.</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Этот офис будет выступать в качестве «единого окна» для поставщиков и стратегического инструмента для централизованной координации.</w:t>
      </w:r>
      <w:r w:rsidRPr="00A933F3">
        <w:rPr>
          <w:rFonts w:asciiTheme="majorHAnsi" w:eastAsia="Google Sans Text" w:hAnsiTheme="majorHAnsi" w:cstheme="majorHAnsi"/>
          <w:color w:val="575B5F"/>
          <w:sz w:val="24"/>
          <w:szCs w:val="24"/>
          <w:vertAlign w:val="superscript"/>
        </w:rPr>
        <w:t>1</w:t>
      </w:r>
    </w:p>
    <w:p w14:paraId="4AF9351D" w14:textId="77777777" w:rsidR="00862C1F" w:rsidRPr="00A933F3" w:rsidRDefault="00000000" w:rsidP="00A933F3">
      <w:pPr>
        <w:pBdr>
          <w:top w:val="nil"/>
          <w:left w:val="nil"/>
          <w:bottom w:val="nil"/>
          <w:right w:val="nil"/>
          <w:between w:val="nil"/>
        </w:pBdr>
        <w:spacing w:after="12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Функции такого офиса включают:</w:t>
      </w:r>
    </w:p>
    <w:p w14:paraId="5577710D" w14:textId="77777777" w:rsidR="00862C1F" w:rsidRPr="00A933F3" w:rsidRDefault="00000000" w:rsidP="00A933F3">
      <w:pPr>
        <w:numPr>
          <w:ilvl w:val="0"/>
          <w:numId w:val="4"/>
        </w:numPr>
        <w:pBdr>
          <w:top w:val="nil"/>
          <w:left w:val="nil"/>
          <w:bottom w:val="nil"/>
          <w:right w:val="nil"/>
          <w:between w:val="nil"/>
        </w:pBdr>
        <w:spacing w:line="275" w:lineRule="auto"/>
        <w:jc w:val="both"/>
        <w:rPr>
          <w:rFonts w:asciiTheme="majorHAnsi" w:hAnsiTheme="majorHAnsi" w:cstheme="majorHAnsi"/>
        </w:rPr>
      </w:pPr>
      <w:r w:rsidRPr="00A933F3">
        <w:rPr>
          <w:rFonts w:asciiTheme="majorHAnsi" w:eastAsia="Google Sans Text" w:hAnsiTheme="majorHAnsi" w:cstheme="majorHAnsi"/>
          <w:color w:val="1B1C1D"/>
        </w:rPr>
        <w:t>Ведение карты компетенций по узлам станции и календаря закупок.</w:t>
      </w:r>
      <w:r w:rsidRPr="00A933F3">
        <w:rPr>
          <w:rFonts w:asciiTheme="majorHAnsi" w:eastAsia="Google Sans Text" w:hAnsiTheme="majorHAnsi" w:cstheme="majorHAnsi"/>
          <w:color w:val="575B5F"/>
          <w:sz w:val="24"/>
          <w:szCs w:val="24"/>
          <w:vertAlign w:val="superscript"/>
        </w:rPr>
        <w:t>1</w:t>
      </w:r>
    </w:p>
    <w:p w14:paraId="6238DF8E" w14:textId="77777777" w:rsidR="00862C1F" w:rsidRPr="00A933F3" w:rsidRDefault="00000000" w:rsidP="00A933F3">
      <w:pPr>
        <w:numPr>
          <w:ilvl w:val="0"/>
          <w:numId w:val="4"/>
        </w:numPr>
        <w:pBdr>
          <w:top w:val="nil"/>
          <w:left w:val="nil"/>
          <w:bottom w:val="nil"/>
          <w:right w:val="nil"/>
          <w:between w:val="nil"/>
        </w:pBdr>
        <w:spacing w:line="275" w:lineRule="auto"/>
        <w:jc w:val="both"/>
        <w:rPr>
          <w:rFonts w:asciiTheme="majorHAnsi" w:hAnsiTheme="majorHAnsi" w:cstheme="majorHAnsi"/>
        </w:rPr>
      </w:pPr>
      <w:r w:rsidRPr="00A933F3">
        <w:rPr>
          <w:rFonts w:asciiTheme="majorHAnsi" w:eastAsia="Google Sans Text" w:hAnsiTheme="majorHAnsi" w:cstheme="majorHAnsi"/>
          <w:color w:val="1B1C1D"/>
        </w:rPr>
        <w:t>Проведение встреч с поставщиками (Vendor Days) и «клиник заявок».</w:t>
      </w:r>
      <w:r w:rsidRPr="00A933F3">
        <w:rPr>
          <w:rFonts w:asciiTheme="majorHAnsi" w:eastAsia="Google Sans Text" w:hAnsiTheme="majorHAnsi" w:cstheme="majorHAnsi"/>
          <w:color w:val="575B5F"/>
          <w:sz w:val="24"/>
          <w:szCs w:val="24"/>
          <w:vertAlign w:val="superscript"/>
        </w:rPr>
        <w:t>1</w:t>
      </w:r>
    </w:p>
    <w:p w14:paraId="3AE530A4" w14:textId="77777777" w:rsidR="00862C1F" w:rsidRPr="00A933F3" w:rsidRDefault="00000000" w:rsidP="00A933F3">
      <w:pPr>
        <w:numPr>
          <w:ilvl w:val="0"/>
          <w:numId w:val="4"/>
        </w:numPr>
        <w:pBdr>
          <w:top w:val="nil"/>
          <w:left w:val="nil"/>
          <w:bottom w:val="nil"/>
          <w:right w:val="nil"/>
          <w:between w:val="nil"/>
        </w:pBdr>
        <w:spacing w:after="120" w:line="275" w:lineRule="auto"/>
        <w:jc w:val="both"/>
        <w:rPr>
          <w:rFonts w:asciiTheme="majorHAnsi" w:hAnsiTheme="majorHAnsi" w:cstheme="majorHAnsi"/>
        </w:rPr>
      </w:pPr>
      <w:r w:rsidRPr="00A933F3">
        <w:rPr>
          <w:rFonts w:asciiTheme="majorHAnsi" w:eastAsia="Google Sans Text" w:hAnsiTheme="majorHAnsi" w:cstheme="majorHAnsi"/>
          <w:color w:val="1B1C1D"/>
        </w:rPr>
        <w:t>Сопровождение компаний в процессе сертификации по международным стандартам, таким как ISO 9001, 19443 и другим.</w:t>
      </w:r>
      <w:r w:rsidRPr="00A933F3">
        <w:rPr>
          <w:rFonts w:asciiTheme="majorHAnsi" w:eastAsia="Google Sans Text" w:hAnsiTheme="majorHAnsi" w:cstheme="majorHAnsi"/>
          <w:color w:val="575B5F"/>
          <w:sz w:val="24"/>
          <w:szCs w:val="24"/>
          <w:vertAlign w:val="superscript"/>
        </w:rPr>
        <w:t>1</w:t>
      </w:r>
    </w:p>
    <w:p w14:paraId="45B827A5" w14:textId="77777777" w:rsidR="00A933F3" w:rsidRDefault="00000000" w:rsidP="00A933F3">
      <w:pPr>
        <w:pBdr>
          <w:top w:val="nil"/>
          <w:left w:val="nil"/>
          <w:bottom w:val="nil"/>
          <w:right w:val="nil"/>
          <w:between w:val="nil"/>
        </w:pBdr>
        <w:spacing w:before="240" w:after="240" w:line="275" w:lineRule="auto"/>
        <w:jc w:val="both"/>
        <w:rPr>
          <w:rFonts w:asciiTheme="majorHAnsi" w:eastAsia="Google Sans Text" w:hAnsiTheme="majorHAnsi" w:cstheme="majorHAnsi"/>
          <w:color w:val="575B5F"/>
          <w:sz w:val="24"/>
          <w:szCs w:val="24"/>
          <w:vertAlign w:val="superscript"/>
        </w:rPr>
      </w:pPr>
      <w:r w:rsidRPr="00A933F3">
        <w:rPr>
          <w:rFonts w:asciiTheme="majorHAnsi" w:eastAsia="Google Sans Text" w:hAnsiTheme="majorHAnsi" w:cstheme="majorHAnsi"/>
          <w:color w:val="1B1C1D"/>
        </w:rPr>
        <w:t>Создание такого офиса позволит снизить регуляторный риск, связанный с неопределенностью и непрозрачностью регуляторных действий.</w:t>
      </w:r>
      <w:r w:rsidRPr="00A933F3">
        <w:rPr>
          <w:rFonts w:asciiTheme="majorHAnsi" w:eastAsia="Google Sans Text" w:hAnsiTheme="majorHAnsi" w:cstheme="majorHAnsi"/>
          <w:color w:val="575B5F"/>
          <w:sz w:val="24"/>
          <w:szCs w:val="24"/>
          <w:vertAlign w:val="superscript"/>
        </w:rPr>
        <w:t>1</w:t>
      </w:r>
      <w:r w:rsidRPr="00A933F3">
        <w:rPr>
          <w:rFonts w:asciiTheme="majorHAnsi" w:eastAsia="Google Sans Text" w:hAnsiTheme="majorHAnsi" w:cstheme="majorHAnsi"/>
          <w:color w:val="1B1C1D"/>
        </w:rPr>
        <w:t xml:space="preserve"> Он превратит хаотичный процесс интеграции в управляемую и предсказуемую стратегию, обеспечивая готовность местных компаний к участию в </w:t>
      </w:r>
      <w:r w:rsidRPr="00A933F3">
        <w:rPr>
          <w:rFonts w:asciiTheme="majorHAnsi" w:eastAsia="Google Sans Text" w:hAnsiTheme="majorHAnsi" w:cstheme="majorHAnsi"/>
          <w:color w:val="1B1C1D"/>
        </w:rPr>
        <w:lastRenderedPageBreak/>
        <w:t>проекте.</w:t>
      </w:r>
      <w:r w:rsidRPr="00A933F3">
        <w:rPr>
          <w:rFonts w:asciiTheme="majorHAnsi" w:eastAsia="Google Sans Text" w:hAnsiTheme="majorHAnsi" w:cstheme="majorHAnsi"/>
          <w:color w:val="575B5F"/>
          <w:sz w:val="24"/>
          <w:szCs w:val="24"/>
          <w:vertAlign w:val="superscript"/>
        </w:rPr>
        <w:t>1</w:t>
      </w:r>
    </w:p>
    <w:p w14:paraId="561BFACD" w14:textId="77777777" w:rsidR="00A933F3" w:rsidRDefault="00000000" w:rsidP="00A933F3">
      <w:pPr>
        <w:pStyle w:val="2"/>
        <w:spacing w:before="0" w:after="120" w:line="275" w:lineRule="auto"/>
        <w:jc w:val="both"/>
        <w:rPr>
          <w:rFonts w:asciiTheme="majorHAnsi" w:eastAsia="Google Sans" w:hAnsiTheme="majorHAnsi" w:cstheme="majorHAnsi"/>
          <w:color w:val="1B1C1D"/>
        </w:rPr>
      </w:pPr>
      <w:bookmarkStart w:id="16" w:name="_Toc210590051"/>
      <w:r w:rsidRPr="00A933F3">
        <w:rPr>
          <w:rFonts w:asciiTheme="majorHAnsi" w:eastAsia="Google Sans" w:hAnsiTheme="majorHAnsi" w:cstheme="majorHAnsi"/>
          <w:color w:val="1B1C1D"/>
        </w:rPr>
        <w:t>Заключение и стратегические рекомендации</w:t>
      </w:r>
      <w:bookmarkEnd w:id="16"/>
    </w:p>
    <w:p w14:paraId="327153AA" w14:textId="44D5B8B6" w:rsidR="00862C1F" w:rsidRPr="00A933F3" w:rsidRDefault="00000000" w:rsidP="00A933F3">
      <w:pPr>
        <w:pBdr>
          <w:top w:val="nil"/>
          <w:left w:val="nil"/>
          <w:bottom w:val="nil"/>
          <w:right w:val="nil"/>
          <w:between w:val="nil"/>
        </w:pBdr>
        <w:spacing w:after="24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Проблемы обращения с ОЯТ и РАО, а также отсутствие развитой инфраструктуры у Сербии являются ключевыми вызовами на пути к строительству АЭС. Однако эти проблемы могут быть решены путем комплексного международного партнерства, основанного на принципах «от колыбели до могилы» и массовой локализации. Это не только повысит безопасность, но и создаст уникальные возможности для системного обновления экономики.</w:t>
      </w:r>
    </w:p>
    <w:p w14:paraId="40A38011" w14:textId="77777777" w:rsidR="00862C1F" w:rsidRPr="00A933F3" w:rsidRDefault="00000000" w:rsidP="00A933F3">
      <w:pPr>
        <w:pBdr>
          <w:top w:val="nil"/>
          <w:left w:val="nil"/>
          <w:bottom w:val="nil"/>
          <w:right w:val="nil"/>
          <w:between w:val="nil"/>
        </w:pBdr>
        <w:spacing w:after="120"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На основе проведенного анализа, предлагаются следующие стратегические рекомендации для Правительства Сербии:</w:t>
      </w:r>
    </w:p>
    <w:p w14:paraId="5B74E7D0" w14:textId="77777777" w:rsidR="00862C1F" w:rsidRPr="00A933F3" w:rsidRDefault="00000000" w:rsidP="00A933F3">
      <w:pPr>
        <w:numPr>
          <w:ilvl w:val="0"/>
          <w:numId w:val="5"/>
        </w:numPr>
        <w:pBdr>
          <w:top w:val="nil"/>
          <w:left w:val="nil"/>
          <w:bottom w:val="nil"/>
          <w:right w:val="nil"/>
          <w:between w:val="nil"/>
        </w:pBdr>
        <w:spacing w:line="275" w:lineRule="auto"/>
        <w:jc w:val="both"/>
        <w:rPr>
          <w:rFonts w:asciiTheme="majorHAnsi" w:hAnsiTheme="majorHAnsi" w:cstheme="majorHAnsi"/>
        </w:rPr>
      </w:pPr>
      <w:r w:rsidRPr="00A933F3">
        <w:rPr>
          <w:rFonts w:asciiTheme="majorHAnsi" w:eastAsia="Google Sans Text" w:hAnsiTheme="majorHAnsi" w:cstheme="majorHAnsi"/>
          <w:b/>
          <w:color w:val="1B1C1D"/>
        </w:rPr>
        <w:t>Создание законодательной и институциональной базы:</w:t>
      </w:r>
      <w:r w:rsidRPr="00A933F3">
        <w:rPr>
          <w:rFonts w:asciiTheme="majorHAnsi" w:eastAsia="Google Sans Text" w:hAnsiTheme="majorHAnsi" w:cstheme="majorHAnsi"/>
          <w:color w:val="1B1C1D"/>
        </w:rPr>
        <w:t xml:space="preserve"> Разработать долгосрочный национальный план, включающий вопросы обращения с ОЯТ и РАО, и назначить ответственный государственный орган, который будет координировать все этапы реализации проекта.</w:t>
      </w:r>
      <w:r w:rsidRPr="00A933F3">
        <w:rPr>
          <w:rFonts w:asciiTheme="majorHAnsi" w:eastAsia="Google Sans Text" w:hAnsiTheme="majorHAnsi" w:cstheme="majorHAnsi"/>
          <w:color w:val="575B5F"/>
          <w:sz w:val="24"/>
          <w:szCs w:val="24"/>
          <w:vertAlign w:val="superscript"/>
        </w:rPr>
        <w:t>1</w:t>
      </w:r>
    </w:p>
    <w:p w14:paraId="2EEDF606" w14:textId="77777777" w:rsidR="00862C1F" w:rsidRPr="00A933F3" w:rsidRDefault="00000000" w:rsidP="00A933F3">
      <w:pPr>
        <w:numPr>
          <w:ilvl w:val="0"/>
          <w:numId w:val="5"/>
        </w:numPr>
        <w:pBdr>
          <w:top w:val="nil"/>
          <w:left w:val="nil"/>
          <w:bottom w:val="nil"/>
          <w:right w:val="nil"/>
          <w:between w:val="nil"/>
        </w:pBdr>
        <w:spacing w:line="275" w:lineRule="auto"/>
        <w:jc w:val="both"/>
        <w:rPr>
          <w:rFonts w:asciiTheme="majorHAnsi" w:hAnsiTheme="majorHAnsi" w:cstheme="majorHAnsi"/>
        </w:rPr>
      </w:pPr>
      <w:r w:rsidRPr="00A933F3">
        <w:rPr>
          <w:rFonts w:asciiTheme="majorHAnsi" w:eastAsia="Google Sans Text" w:hAnsiTheme="majorHAnsi" w:cstheme="majorHAnsi"/>
          <w:b/>
          <w:color w:val="1B1C1D"/>
        </w:rPr>
        <w:t>Проведение переговоров с партнёрами:</w:t>
      </w:r>
      <w:r w:rsidRPr="00A933F3">
        <w:rPr>
          <w:rFonts w:asciiTheme="majorHAnsi" w:eastAsia="Google Sans Text" w:hAnsiTheme="majorHAnsi" w:cstheme="majorHAnsi"/>
          <w:color w:val="1B1C1D"/>
        </w:rPr>
        <w:t xml:space="preserve"> Включить в контракты с поставщиком условие о полной ответственности за весь жизненный цикл ОЯТ и РАО. Одновременно настаивать на всеобъемлющем плане по трансферу технологий и создании совместных предприятий, что позволит получить доступ к передовым компетенциям и технологиям.</w:t>
      </w:r>
      <w:r w:rsidRPr="00A933F3">
        <w:rPr>
          <w:rFonts w:asciiTheme="majorHAnsi" w:eastAsia="Google Sans Text" w:hAnsiTheme="majorHAnsi" w:cstheme="majorHAnsi"/>
          <w:color w:val="575B5F"/>
          <w:sz w:val="24"/>
          <w:szCs w:val="24"/>
          <w:vertAlign w:val="superscript"/>
        </w:rPr>
        <w:t>1</w:t>
      </w:r>
    </w:p>
    <w:p w14:paraId="7A040763" w14:textId="77777777" w:rsidR="00862C1F" w:rsidRPr="00A933F3" w:rsidRDefault="00000000" w:rsidP="00A933F3">
      <w:pPr>
        <w:numPr>
          <w:ilvl w:val="0"/>
          <w:numId w:val="5"/>
        </w:numPr>
        <w:pBdr>
          <w:top w:val="nil"/>
          <w:left w:val="nil"/>
          <w:bottom w:val="nil"/>
          <w:right w:val="nil"/>
          <w:between w:val="nil"/>
        </w:pBdr>
        <w:spacing w:line="275" w:lineRule="auto"/>
        <w:jc w:val="both"/>
        <w:rPr>
          <w:rFonts w:asciiTheme="majorHAnsi" w:hAnsiTheme="majorHAnsi" w:cstheme="majorHAnsi"/>
        </w:rPr>
      </w:pPr>
      <w:r w:rsidRPr="00A933F3">
        <w:rPr>
          <w:rFonts w:asciiTheme="majorHAnsi" w:eastAsia="Google Sans Text" w:hAnsiTheme="majorHAnsi" w:cstheme="majorHAnsi"/>
          <w:b/>
          <w:color w:val="1B1C1D"/>
        </w:rPr>
        <w:t>Координация локализации:</w:t>
      </w:r>
      <w:r w:rsidRPr="00A933F3">
        <w:rPr>
          <w:rFonts w:asciiTheme="majorHAnsi" w:eastAsia="Google Sans Text" w:hAnsiTheme="majorHAnsi" w:cstheme="majorHAnsi"/>
          <w:color w:val="1B1C1D"/>
        </w:rPr>
        <w:t xml:space="preserve"> Поддержать создание совместного проектного офиса, который станет центральным инструментом для интеграции местных компаний в международные цепочки поставок и повышения их квалификации.</w:t>
      </w:r>
      <w:r w:rsidRPr="00A933F3">
        <w:rPr>
          <w:rFonts w:asciiTheme="majorHAnsi" w:eastAsia="Google Sans Text" w:hAnsiTheme="majorHAnsi" w:cstheme="majorHAnsi"/>
          <w:color w:val="575B5F"/>
          <w:sz w:val="24"/>
          <w:szCs w:val="24"/>
          <w:vertAlign w:val="superscript"/>
        </w:rPr>
        <w:t>1</w:t>
      </w:r>
    </w:p>
    <w:p w14:paraId="079C5E8C" w14:textId="77777777" w:rsidR="00862C1F" w:rsidRPr="00A933F3" w:rsidRDefault="00000000" w:rsidP="00A933F3">
      <w:pPr>
        <w:numPr>
          <w:ilvl w:val="0"/>
          <w:numId w:val="5"/>
        </w:numPr>
        <w:pBdr>
          <w:top w:val="nil"/>
          <w:left w:val="nil"/>
          <w:bottom w:val="nil"/>
          <w:right w:val="nil"/>
          <w:between w:val="nil"/>
        </w:pBdr>
        <w:spacing w:after="120" w:line="275" w:lineRule="auto"/>
        <w:jc w:val="both"/>
        <w:rPr>
          <w:rFonts w:asciiTheme="majorHAnsi" w:hAnsiTheme="majorHAnsi" w:cstheme="majorHAnsi"/>
        </w:rPr>
      </w:pPr>
      <w:r w:rsidRPr="00A933F3">
        <w:rPr>
          <w:rFonts w:asciiTheme="majorHAnsi" w:eastAsia="Google Sans Text" w:hAnsiTheme="majorHAnsi" w:cstheme="majorHAnsi"/>
          <w:b/>
          <w:color w:val="1B1C1D"/>
        </w:rPr>
        <w:t>Стратегические коммуникации:</w:t>
      </w:r>
      <w:r w:rsidRPr="00A933F3">
        <w:rPr>
          <w:rFonts w:asciiTheme="majorHAnsi" w:eastAsia="Google Sans Text" w:hAnsiTheme="majorHAnsi" w:cstheme="majorHAnsi"/>
          <w:color w:val="1B1C1D"/>
        </w:rPr>
        <w:t xml:space="preserve"> Разработать и реализовать всеобъемлющую коммуникационную стратегию, направленную на формирование позитивного общественного мнения и повышение информированности о преимуществах проекта для экономики и безопасности.</w:t>
      </w:r>
      <w:r w:rsidRPr="00A933F3">
        <w:rPr>
          <w:rFonts w:asciiTheme="majorHAnsi" w:eastAsia="Google Sans Text" w:hAnsiTheme="majorHAnsi" w:cstheme="majorHAnsi"/>
          <w:color w:val="575B5F"/>
          <w:sz w:val="24"/>
          <w:szCs w:val="24"/>
          <w:vertAlign w:val="superscript"/>
        </w:rPr>
        <w:t>1</w:t>
      </w:r>
    </w:p>
    <w:p w14:paraId="14E3E4D3" w14:textId="77777777" w:rsidR="00862C1F" w:rsidRPr="00A933F3" w:rsidRDefault="00000000" w:rsidP="00A933F3">
      <w:pPr>
        <w:pBdr>
          <w:top w:val="nil"/>
          <w:left w:val="nil"/>
          <w:bottom w:val="nil"/>
          <w:right w:val="nil"/>
          <w:between w:val="nil"/>
        </w:pBdr>
        <w:spacing w:before="240" w:after="255" w:line="275" w:lineRule="auto"/>
        <w:jc w:val="both"/>
        <w:rPr>
          <w:rFonts w:asciiTheme="majorHAnsi" w:eastAsia="Google Sans Text" w:hAnsiTheme="majorHAnsi" w:cstheme="majorHAnsi"/>
          <w:color w:val="1B1C1D"/>
        </w:rPr>
      </w:pPr>
      <w:r w:rsidRPr="00A933F3">
        <w:rPr>
          <w:rFonts w:asciiTheme="majorHAnsi" w:eastAsia="Google Sans Text" w:hAnsiTheme="majorHAnsi" w:cstheme="majorHAnsi"/>
          <w:color w:val="1B1C1D"/>
        </w:rPr>
        <w:t>Строительство АЭС в Сербии — это не просто энергетический проект, а уникальная возможность для системного обновления экономики, которая может превратить страну из «поставщика ресурса» в «поставщика технологии». Успех будет зависеть от готовности Сербии извлечь уроки из мирового опыта и реализовать целостную, долгосрочную стратегию.</w:t>
      </w:r>
    </w:p>
    <w:p w14:paraId="05CE1C77" w14:textId="77777777" w:rsidR="00862C1F" w:rsidRPr="00A933F3" w:rsidRDefault="00000000" w:rsidP="00A933F3">
      <w:pPr>
        <w:pStyle w:val="4"/>
        <w:spacing w:before="0"/>
        <w:jc w:val="both"/>
        <w:rPr>
          <w:rFonts w:asciiTheme="majorHAnsi" w:eastAsia="Google Sans" w:hAnsiTheme="majorHAnsi" w:cstheme="majorHAnsi"/>
        </w:rPr>
      </w:pPr>
      <w:r w:rsidRPr="00A933F3">
        <w:rPr>
          <w:rFonts w:asciiTheme="majorHAnsi" w:eastAsia="Google Sans" w:hAnsiTheme="majorHAnsi" w:cstheme="majorHAnsi"/>
        </w:rPr>
        <w:t>Источники</w:t>
      </w:r>
    </w:p>
    <w:p w14:paraId="4F26C258" w14:textId="77777777" w:rsidR="00862C1F" w:rsidRPr="00A933F3" w:rsidRDefault="00000000" w:rsidP="00A933F3">
      <w:pPr>
        <w:numPr>
          <w:ilvl w:val="0"/>
          <w:numId w:val="6"/>
        </w:numPr>
        <w:pBdr>
          <w:top w:val="nil"/>
          <w:left w:val="nil"/>
          <w:bottom w:val="nil"/>
          <w:right w:val="nil"/>
          <w:between w:val="nil"/>
        </w:pBdr>
        <w:jc w:val="both"/>
        <w:rPr>
          <w:rFonts w:asciiTheme="majorHAnsi" w:hAnsiTheme="majorHAnsi" w:cstheme="majorHAnsi"/>
        </w:rPr>
      </w:pPr>
      <w:r w:rsidRPr="00A933F3">
        <w:rPr>
          <w:rFonts w:asciiTheme="majorHAnsi" w:eastAsia="Google Sans" w:hAnsiTheme="majorHAnsi" w:cstheme="majorHAnsi"/>
          <w:sz w:val="24"/>
          <w:szCs w:val="24"/>
        </w:rPr>
        <w:t>mezhdunarodnyy-transfer-tehnologiy-i-lokalizatsiya-istorii-uspeha-v-atomnoy-energetike.pdf</w:t>
      </w:r>
    </w:p>
    <w:p w14:paraId="1CFA7DE4" w14:textId="77777777" w:rsidR="00862C1F" w:rsidRPr="00A933F3" w:rsidRDefault="00000000" w:rsidP="00A933F3">
      <w:pPr>
        <w:numPr>
          <w:ilvl w:val="0"/>
          <w:numId w:val="6"/>
        </w:numPr>
        <w:pBdr>
          <w:top w:val="nil"/>
          <w:left w:val="nil"/>
          <w:bottom w:val="nil"/>
          <w:right w:val="nil"/>
          <w:between w:val="nil"/>
        </w:pBdr>
        <w:jc w:val="both"/>
        <w:rPr>
          <w:rFonts w:asciiTheme="majorHAnsi" w:hAnsiTheme="majorHAnsi" w:cstheme="majorHAnsi"/>
        </w:rPr>
      </w:pPr>
      <w:r w:rsidRPr="00A933F3">
        <w:rPr>
          <w:rFonts w:asciiTheme="majorHAnsi" w:eastAsia="Google Sans" w:hAnsiTheme="majorHAnsi" w:cstheme="majorHAnsi"/>
          <w:sz w:val="24"/>
          <w:szCs w:val="24"/>
        </w:rPr>
        <w:t xml:space="preserve">SANU Academic Committee for Energy: the construction of a nuclear power plant demands a break with the practice of selective and partial compliance with laws and institutions - Nuklearna Perspektiva, дата последнего обращения: сентября 20, 2025, </w:t>
      </w:r>
      <w:hyperlink r:id="rId7">
        <w:r w:rsidRPr="00A933F3">
          <w:rPr>
            <w:rFonts w:asciiTheme="majorHAnsi" w:eastAsia="Google Sans" w:hAnsiTheme="majorHAnsi" w:cstheme="majorHAnsi"/>
            <w:color w:val="0000EE"/>
            <w:sz w:val="24"/>
            <w:szCs w:val="24"/>
            <w:u w:val="single"/>
          </w:rPr>
          <w:t>https://nuklearnaperspektiva.com/index.php/2025/09/01/sanu-academic-committee-for-energy/</w:t>
        </w:r>
      </w:hyperlink>
    </w:p>
    <w:sectPr w:rsidR="00862C1F" w:rsidRPr="00A933F3">
      <w:headerReference w:type="default" r:id="rId8"/>
      <w:footerReference w:type="even" r:id="rId9"/>
      <w:footerReference w:type="default" r:id="rId10"/>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B50E3" w14:textId="77777777" w:rsidR="001C1145" w:rsidRDefault="001C1145" w:rsidP="00A933F3">
      <w:r>
        <w:separator/>
      </w:r>
    </w:p>
  </w:endnote>
  <w:endnote w:type="continuationSeparator" w:id="0">
    <w:p w14:paraId="0F53514A" w14:textId="77777777" w:rsidR="001C1145" w:rsidRDefault="001C1145" w:rsidP="00A9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19CEE71D-5356-CA4F-A9F7-A345ABF2F5E3}"/>
    <w:embedBold r:id="rId2" w:fontKey="{9313081E-09B5-2D4E-899F-6B9BF94D6CC3}"/>
  </w:font>
  <w:font w:name="Times New Roman">
    <w:panose1 w:val="02020603050405020304"/>
    <w:charset w:val="00"/>
    <w:family w:val="roman"/>
    <w:pitch w:val="variable"/>
    <w:sig w:usb0="E0002EFF" w:usb1="C000785B" w:usb2="00000009" w:usb3="00000000" w:csb0="000001FF" w:csb1="00000000"/>
    <w:embedRegular r:id="rId3" w:fontKey="{77551D92-0BC7-C041-9477-B618905C2C95}"/>
  </w:font>
  <w:font w:name="Georgia">
    <w:panose1 w:val="02040502050405020303"/>
    <w:charset w:val="00"/>
    <w:family w:val="roman"/>
    <w:pitch w:val="variable"/>
    <w:sig w:usb0="00000287" w:usb1="00000000" w:usb2="00000000" w:usb3="00000000" w:csb0="0000009F" w:csb1="00000000"/>
    <w:embedRegular r:id="rId4" w:fontKey="{597C15F5-65B1-6541-ACEE-52A44C33C09E}"/>
    <w:embedItalic r:id="rId5" w:fontKey="{A019F554-32DD-8A43-A3A9-A9E94270CABB}"/>
  </w:font>
  <w:font w:name="Calibri">
    <w:panose1 w:val="020F0502020204030204"/>
    <w:charset w:val="00"/>
    <w:family w:val="swiss"/>
    <w:pitch w:val="variable"/>
    <w:sig w:usb0="E4002EFF" w:usb1="C200247B" w:usb2="00000009" w:usb3="00000000" w:csb0="000001FF" w:csb1="00000000"/>
    <w:embedRegular r:id="rId6" w:fontKey="{DD39D255-0215-7040-B74D-BF977052F1A0}"/>
    <w:embedBold r:id="rId7" w:fontKey="{39FF8754-2E0E-634E-94B7-C49AA8055B93}"/>
  </w:font>
  <w:font w:name="Google Sans">
    <w:altName w:val="Calibri"/>
    <w:panose1 w:val="020B0604020202020204"/>
    <w:charset w:val="00"/>
    <w:family w:val="auto"/>
    <w:pitch w:val="default"/>
    <w:embedRegular r:id="rId8" w:fontKey="{B3F4ECE8-97C1-3446-BD5D-B15F35895C2A}"/>
    <w:embedBold r:id="rId9" w:fontKey="{3746B882-1E61-9141-8F6C-7789D95C6F5E}"/>
  </w:font>
  <w:font w:name="Google Sans Text">
    <w:altName w:val="Calibri"/>
    <w:panose1 w:val="020B0604020202020204"/>
    <w:charset w:val="00"/>
    <w:family w:val="auto"/>
    <w:pitch w:val="default"/>
    <w:embedRegular r:id="rId10" w:fontKey="{F9A77427-B59E-7343-A89A-AAC1C56125E5}"/>
    <w:embedBold r:id="rId11" w:fontKey="{B6F89BD1-9DD3-3E4B-A616-9A349B5B6907}"/>
  </w:font>
  <w:font w:name="Calibri Light">
    <w:panose1 w:val="020F0302020204030204"/>
    <w:charset w:val="00"/>
    <w:family w:val="swiss"/>
    <w:pitch w:val="variable"/>
    <w:sig w:usb0="E0002AFF" w:usb1="C000247B" w:usb2="00000009" w:usb3="00000000" w:csb0="000001FF" w:csb1="00000000"/>
    <w:embedRegular r:id="rId12" w:fontKey="{6C3061A1-B7B7-094B-84CF-A4985D280D40}"/>
  </w:font>
  <w:font w:name="Cambria">
    <w:panose1 w:val="02040503050406030204"/>
    <w:charset w:val="00"/>
    <w:family w:val="roman"/>
    <w:pitch w:val="variable"/>
    <w:sig w:usb0="E00006FF" w:usb1="420024FF" w:usb2="02000000" w:usb3="00000000" w:csb0="0000019F" w:csb1="00000000"/>
    <w:embedRegular r:id="rId13" w:fontKey="{113DE94F-2392-064F-95A7-68E4F50A83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1243793368"/>
      <w:docPartObj>
        <w:docPartGallery w:val="Page Numbers (Bottom of Page)"/>
        <w:docPartUnique/>
      </w:docPartObj>
    </w:sdtPr>
    <w:sdtContent>
      <w:p w14:paraId="2753951A" w14:textId="288D9737" w:rsidR="00A933F3" w:rsidRDefault="00A933F3" w:rsidP="003D1BE1">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rPr>
          <w:fldChar w:fldCharType="end"/>
        </w:r>
      </w:p>
    </w:sdtContent>
  </w:sdt>
  <w:p w14:paraId="67A67940" w14:textId="77777777" w:rsidR="00A933F3" w:rsidRDefault="00A933F3" w:rsidP="00A933F3">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2006704699"/>
      <w:docPartObj>
        <w:docPartGallery w:val="Page Numbers (Bottom of Page)"/>
        <w:docPartUnique/>
      </w:docPartObj>
    </w:sdtPr>
    <w:sdtContent>
      <w:p w14:paraId="1D4F5777" w14:textId="30F63D85" w:rsidR="00A933F3" w:rsidRDefault="00A933F3" w:rsidP="003D1BE1">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noProof/>
          </w:rPr>
          <w:t>8</w:t>
        </w:r>
        <w:r>
          <w:rPr>
            <w:rStyle w:val="ab"/>
          </w:rPr>
          <w:fldChar w:fldCharType="end"/>
        </w:r>
      </w:p>
    </w:sdtContent>
  </w:sdt>
  <w:p w14:paraId="02680D40" w14:textId="77777777" w:rsidR="00A933F3" w:rsidRPr="00177B08" w:rsidRDefault="00A933F3" w:rsidP="00A933F3">
    <w:pPr>
      <w:ind w:right="360"/>
      <w:jc w:val="both"/>
      <w:rPr>
        <w:rFonts w:ascii="Calibri Light" w:eastAsia="Times New Roman" w:hAnsi="Calibri Light" w:cs="Calibri Light"/>
        <w:sz w:val="16"/>
        <w:szCs w:val="16"/>
        <w:lang w:val="en-US"/>
      </w:rPr>
    </w:pPr>
    <w:r w:rsidRPr="00177B08">
      <w:rPr>
        <w:rFonts w:ascii="Calibri Light" w:eastAsia="Times New Roman" w:hAnsi="Calibri Light" w:cs="Calibri Light"/>
        <w:sz w:val="16"/>
        <w:szCs w:val="16"/>
        <w:lang w:val="en-US"/>
      </w:rPr>
      <w:t>Legal Disclaimer | Privacy Policy</w:t>
    </w:r>
  </w:p>
  <w:p w14:paraId="57B98A02" w14:textId="0B010BB4" w:rsidR="00A933F3" w:rsidRPr="00A933F3" w:rsidRDefault="00A933F3" w:rsidP="00A933F3">
    <w:pPr>
      <w:pStyle w:val="a9"/>
      <w:ind w:right="360"/>
      <w:rPr>
        <w:lang w:val="ru-RU"/>
      </w:rPr>
    </w:pPr>
    <w:r w:rsidRPr="00177B08">
      <w:rPr>
        <w:rFonts w:ascii="Calibri Light" w:eastAsia="Times New Roman" w:hAnsi="Calibri Light" w:cs="Calibri Light"/>
        <w:sz w:val="16"/>
        <w:szCs w:val="16"/>
        <w:lang w:val="en-US"/>
      </w:rPr>
      <w:t xml:space="preserve">© Copyright </w:t>
    </w:r>
    <w:r w:rsidRPr="00F85ED7">
      <w:rPr>
        <w:rFonts w:ascii="Calibri Light" w:eastAsia="Times New Roman" w:hAnsi="Calibri Light" w:cs="Calibri Light"/>
        <w:sz w:val="16"/>
        <w:szCs w:val="16"/>
        <w:lang w:val="en-US"/>
      </w:rPr>
      <w:t>Mikhail Sorokin Entrepreneur NUCON</w:t>
    </w:r>
    <w:r w:rsidRPr="00177B08">
      <w:rPr>
        <w:rFonts w:ascii="Calibri Light" w:eastAsia="Times New Roman" w:hAnsi="Calibri Light" w:cs="Calibri Light"/>
        <w:sz w:val="16"/>
        <w:szCs w:val="16"/>
        <w:lang w:val="en-US"/>
      </w:rPr>
      <w:t>, 202</w:t>
    </w:r>
    <w:r>
      <w:rPr>
        <w:rFonts w:ascii="Calibri Light" w:eastAsia="Times New Roman" w:hAnsi="Calibri Light" w:cs="Calibri Light"/>
        <w:sz w:val="16"/>
        <w:szCs w:val="16"/>
        <w:lang w:val="en-US"/>
      </w:rPr>
      <w:t>5</w:t>
    </w:r>
    <w:r w:rsidRPr="00177B08">
      <w:rPr>
        <w:rFonts w:ascii="Calibri Light" w:eastAsia="Times New Roman" w:hAnsi="Calibri Light" w:cs="Calibri Light"/>
        <w:sz w:val="16"/>
        <w:szCs w:val="16"/>
        <w:lang w:val="en-US"/>
      </w:rPr>
      <w:t xml:space="preserve">. All rights reserved. Reproduction, adaptation, or translation without permission is prohibited except as allowed under the international copyright laws. All the text, content, graphics, design, and other works are the copyrighted works of </w:t>
    </w:r>
    <w:r w:rsidRPr="00F85ED7">
      <w:rPr>
        <w:rFonts w:ascii="Calibri Light" w:eastAsia="Times New Roman" w:hAnsi="Calibri Light" w:cs="Calibri Light"/>
        <w:sz w:val="16"/>
        <w:szCs w:val="16"/>
        <w:lang w:val="en-US"/>
      </w:rPr>
      <w:t>Mikhail Sorokin Entrepreneur NUCON</w:t>
    </w:r>
    <w:r w:rsidRPr="00177B08">
      <w:rPr>
        <w:rFonts w:ascii="Calibri Light" w:eastAsia="Times New Roman" w:hAnsi="Calibri Light" w:cs="Calibri Light"/>
        <w:sz w:val="16"/>
        <w:szCs w:val="16"/>
        <w:lang w:val="en-US"/>
      </w:rPr>
      <w:t>,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E3F99" w14:textId="77777777" w:rsidR="001C1145" w:rsidRDefault="001C1145" w:rsidP="00A933F3">
      <w:r>
        <w:separator/>
      </w:r>
    </w:p>
  </w:footnote>
  <w:footnote w:type="continuationSeparator" w:id="0">
    <w:p w14:paraId="2CC3D691" w14:textId="77777777" w:rsidR="001C1145" w:rsidRDefault="001C1145" w:rsidP="00A93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42299" w14:textId="13FD4C4C" w:rsidR="00A933F3" w:rsidRDefault="00A933F3">
    <w:pPr>
      <w:pStyle w:val="a7"/>
    </w:pPr>
    <w:r w:rsidRPr="009951E6">
      <w:drawing>
        <wp:anchor distT="0" distB="0" distL="114300" distR="114300" simplePos="0" relativeHeight="251659264" behindDoc="0" locked="0" layoutInCell="1" allowOverlap="1" wp14:anchorId="7764AA64" wp14:editId="70BF6221">
          <wp:simplePos x="0" y="0"/>
          <wp:positionH relativeFrom="column">
            <wp:posOffset>0</wp:posOffset>
          </wp:positionH>
          <wp:positionV relativeFrom="paragraph">
            <wp:posOffset>156575</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A6F5C"/>
    <w:multiLevelType w:val="multilevel"/>
    <w:tmpl w:val="B8367A8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3C345914"/>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50EA6A64"/>
    <w:multiLevelType w:val="multilevel"/>
    <w:tmpl w:val="93A002E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55A60CD3"/>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56315BE8"/>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59AA2939"/>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891503235">
    <w:abstractNumId w:val="3"/>
  </w:num>
  <w:num w:numId="2" w16cid:durableId="1776828162">
    <w:abstractNumId w:val="4"/>
  </w:num>
  <w:num w:numId="3" w16cid:durableId="359858263">
    <w:abstractNumId w:val="5"/>
  </w:num>
  <w:num w:numId="4" w16cid:durableId="1501658272">
    <w:abstractNumId w:val="1"/>
  </w:num>
  <w:num w:numId="5" w16cid:durableId="1770617615">
    <w:abstractNumId w:val="2"/>
  </w:num>
  <w:num w:numId="6" w16cid:durableId="387071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C1F"/>
    <w:rsid w:val="001C1145"/>
    <w:rsid w:val="00603180"/>
    <w:rsid w:val="00862C1F"/>
    <w:rsid w:val="00A933F3"/>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519FBD8B"/>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BG"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paragraph" w:styleId="10">
    <w:name w:val="toc 1"/>
    <w:basedOn w:val="a"/>
    <w:next w:val="a"/>
    <w:autoRedefine/>
    <w:uiPriority w:val="39"/>
    <w:unhideWhenUsed/>
    <w:rsid w:val="00A933F3"/>
    <w:pPr>
      <w:spacing w:after="100"/>
    </w:pPr>
  </w:style>
  <w:style w:type="paragraph" w:styleId="20">
    <w:name w:val="toc 2"/>
    <w:basedOn w:val="a"/>
    <w:next w:val="a"/>
    <w:autoRedefine/>
    <w:uiPriority w:val="39"/>
    <w:unhideWhenUsed/>
    <w:rsid w:val="00A933F3"/>
    <w:pPr>
      <w:spacing w:after="100"/>
      <w:ind w:left="220"/>
    </w:pPr>
  </w:style>
  <w:style w:type="paragraph" w:styleId="30">
    <w:name w:val="toc 3"/>
    <w:basedOn w:val="a"/>
    <w:next w:val="a"/>
    <w:autoRedefine/>
    <w:uiPriority w:val="39"/>
    <w:unhideWhenUsed/>
    <w:rsid w:val="00A933F3"/>
    <w:pPr>
      <w:spacing w:after="100"/>
      <w:ind w:left="440"/>
    </w:pPr>
  </w:style>
  <w:style w:type="character" w:styleId="a6">
    <w:name w:val="Hyperlink"/>
    <w:basedOn w:val="a0"/>
    <w:uiPriority w:val="99"/>
    <w:unhideWhenUsed/>
    <w:rsid w:val="00A933F3"/>
    <w:rPr>
      <w:color w:val="0000FF" w:themeColor="hyperlink"/>
      <w:u w:val="single"/>
    </w:rPr>
  </w:style>
  <w:style w:type="paragraph" w:styleId="a7">
    <w:name w:val="header"/>
    <w:basedOn w:val="a"/>
    <w:link w:val="a8"/>
    <w:uiPriority w:val="99"/>
    <w:unhideWhenUsed/>
    <w:rsid w:val="00A933F3"/>
    <w:pPr>
      <w:tabs>
        <w:tab w:val="center" w:pos="4513"/>
        <w:tab w:val="right" w:pos="9026"/>
      </w:tabs>
    </w:pPr>
  </w:style>
  <w:style w:type="character" w:customStyle="1" w:styleId="a8">
    <w:name w:val="Верхний колонтитул Знак"/>
    <w:basedOn w:val="a0"/>
    <w:link w:val="a7"/>
    <w:uiPriority w:val="99"/>
    <w:rsid w:val="00A933F3"/>
  </w:style>
  <w:style w:type="paragraph" w:styleId="a9">
    <w:name w:val="footer"/>
    <w:basedOn w:val="a"/>
    <w:link w:val="aa"/>
    <w:uiPriority w:val="99"/>
    <w:unhideWhenUsed/>
    <w:qFormat/>
    <w:rsid w:val="00A933F3"/>
    <w:pPr>
      <w:tabs>
        <w:tab w:val="center" w:pos="4513"/>
        <w:tab w:val="right" w:pos="9026"/>
      </w:tabs>
    </w:pPr>
  </w:style>
  <w:style w:type="character" w:customStyle="1" w:styleId="aa">
    <w:name w:val="Нижний колонтитул Знак"/>
    <w:basedOn w:val="a0"/>
    <w:link w:val="a9"/>
    <w:uiPriority w:val="99"/>
    <w:rsid w:val="00A933F3"/>
  </w:style>
  <w:style w:type="character" w:styleId="ab">
    <w:name w:val="page number"/>
    <w:basedOn w:val="a0"/>
    <w:uiPriority w:val="99"/>
    <w:semiHidden/>
    <w:unhideWhenUsed/>
    <w:rsid w:val="00A93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uklearnaperspektiva.com/index.php/2025/09/01/sanu-academic-committee-for-energ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2798</Words>
  <Characters>15955</Characters>
  <Application>Microsoft Office Word</Application>
  <DocSecurity>0</DocSecurity>
  <Lines>132</Lines>
  <Paragraphs>37</Paragraphs>
  <ScaleCrop>false</ScaleCrop>
  <Company/>
  <LinksUpToDate>false</LinksUpToDate>
  <CharactersWithSpaces>18716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2025-10-05T17:51:00Z</dcterms:created>
  <dcterms:modified xsi:type="dcterms:W3CDTF">2025-10-05T17:56:00Z</dcterms:modified>
</cp:coreProperties>
</file>