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959B8" w14:textId="77777777" w:rsidR="00A7701B" w:rsidRPr="008E7260" w:rsidRDefault="00A7701B" w:rsidP="00000523">
      <w:pPr>
        <w:pBdr>
          <w:top w:val="nil"/>
          <w:left w:val="nil"/>
          <w:bottom w:val="nil"/>
          <w:right w:val="nil"/>
          <w:between w:val="nil"/>
        </w:pBdr>
        <w:spacing w:after="240" w:line="275" w:lineRule="auto"/>
        <w:jc w:val="both"/>
        <w:rPr>
          <w:rFonts w:ascii="Calibri" w:hAnsi="Calibri" w:cs="Calibri"/>
          <w:color w:val="000000"/>
          <w:lang w:val="ru-RU"/>
        </w:rPr>
      </w:pPr>
    </w:p>
    <w:p w14:paraId="4B8CD5A1" w14:textId="77777777" w:rsidR="008E7260" w:rsidRPr="008E7260" w:rsidRDefault="00000000" w:rsidP="008E7260">
      <w:pPr>
        <w:rPr>
          <w:rFonts w:asciiTheme="majorHAnsi" w:hAnsiTheme="majorHAnsi" w:cstheme="majorHAnsi"/>
          <w:b/>
          <w:bCs/>
          <w:sz w:val="40"/>
          <w:szCs w:val="40"/>
        </w:rPr>
      </w:pPr>
      <w:r w:rsidRPr="008E7260">
        <w:rPr>
          <w:rFonts w:asciiTheme="majorHAnsi" w:hAnsiTheme="majorHAnsi" w:cstheme="majorHAnsi"/>
          <w:b/>
          <w:bCs/>
          <w:sz w:val="40"/>
          <w:szCs w:val="40"/>
        </w:rPr>
        <w:t>Анализ Предложений Мировых Вендоров по Строительству АЭС в Сербии: Сроки и Вехи в Соответствии с Методологией МАГАТЭ</w:t>
      </w:r>
    </w:p>
    <w:p w14:paraId="00EF7BAD" w14:textId="77777777" w:rsidR="008E7260" w:rsidRPr="008E7260" w:rsidRDefault="008E7260" w:rsidP="008E7260">
      <w:pPr>
        <w:rPr>
          <w:rFonts w:asciiTheme="majorHAnsi" w:hAnsiTheme="majorHAnsi" w:cstheme="majorHAnsi"/>
          <w:b/>
          <w:bCs/>
          <w:sz w:val="40"/>
          <w:szCs w:val="40"/>
        </w:rPr>
      </w:pPr>
    </w:p>
    <w:p w14:paraId="0FFCB647" w14:textId="77777777" w:rsidR="008E7260" w:rsidRDefault="008E7260" w:rsidP="008E7260">
      <w:pPr>
        <w:rPr>
          <w:rFonts w:asciiTheme="majorHAnsi" w:hAnsiTheme="majorHAnsi" w:cstheme="majorHAnsi"/>
          <w:b/>
          <w:bCs/>
          <w:sz w:val="36"/>
          <w:szCs w:val="36"/>
          <w:lang w:val="ru-RU"/>
        </w:rPr>
      </w:pPr>
      <w:r w:rsidRPr="008E7260">
        <w:rPr>
          <w:rFonts w:asciiTheme="majorHAnsi" w:hAnsiTheme="majorHAnsi" w:cstheme="majorHAnsi"/>
          <w:b/>
          <w:bCs/>
          <w:sz w:val="36"/>
          <w:szCs w:val="36"/>
          <w:lang w:val="ru-RU"/>
        </w:rPr>
        <w:t>Содержание</w:t>
      </w:r>
    </w:p>
    <w:p w14:paraId="54133C94" w14:textId="3ECE6B71" w:rsidR="008E7260" w:rsidRDefault="008E7260" w:rsidP="008E7260">
      <w:pPr>
        <w:rPr>
          <w:noProof/>
        </w:rPr>
      </w:pPr>
      <w:r>
        <w:rPr>
          <w:rFonts w:asciiTheme="majorHAnsi" w:hAnsiTheme="majorHAnsi" w:cstheme="majorHAnsi"/>
          <w:b/>
          <w:bCs/>
          <w:sz w:val="36"/>
          <w:szCs w:val="36"/>
          <w:lang w:val="ru-RU"/>
        </w:rPr>
        <w:fldChar w:fldCharType="begin"/>
      </w:r>
      <w:r>
        <w:rPr>
          <w:rFonts w:asciiTheme="majorHAnsi" w:hAnsiTheme="majorHAnsi" w:cstheme="majorHAnsi"/>
          <w:b/>
          <w:bCs/>
          <w:sz w:val="36"/>
          <w:szCs w:val="36"/>
          <w:lang w:val="ru-RU"/>
        </w:rPr>
        <w:instrText xml:space="preserve"> TOC \o "1-3" \h \z \u </w:instrText>
      </w:r>
      <w:r>
        <w:rPr>
          <w:rFonts w:asciiTheme="majorHAnsi" w:hAnsiTheme="majorHAnsi" w:cstheme="majorHAnsi"/>
          <w:b/>
          <w:bCs/>
          <w:sz w:val="36"/>
          <w:szCs w:val="36"/>
          <w:lang w:val="ru-RU"/>
        </w:rPr>
        <w:fldChar w:fldCharType="separate"/>
      </w:r>
    </w:p>
    <w:p w14:paraId="0107CA05" w14:textId="1E9BD3C9" w:rsidR="008E7260" w:rsidRDefault="008E7260">
      <w:pPr>
        <w:pStyle w:val="20"/>
        <w:tabs>
          <w:tab w:val="right" w:leader="dot" w:pos="9350"/>
        </w:tabs>
        <w:rPr>
          <w:noProof/>
        </w:rPr>
      </w:pPr>
      <w:hyperlink w:anchor="_Toc210582162" w:history="1">
        <w:r w:rsidRPr="00EB42A7">
          <w:rPr>
            <w:rStyle w:val="ac"/>
            <w:rFonts w:ascii="Calibri" w:eastAsia="Google Sans" w:hAnsi="Calibri" w:cs="Calibri"/>
            <w:noProof/>
          </w:rPr>
          <w:t>РАЗДЕЛ I: СЕРБИЯ И СТРАТЕГИЧЕСКИЕ ПРЕДПОСЫЛКИ ДЛЯ ЯДЕРНОЙ ЭНЕРГЕТИКИ</w:t>
        </w:r>
        <w:r>
          <w:rPr>
            <w:noProof/>
            <w:webHidden/>
          </w:rPr>
          <w:tab/>
        </w:r>
        <w:r>
          <w:rPr>
            <w:noProof/>
            <w:webHidden/>
          </w:rPr>
          <w:fldChar w:fldCharType="begin"/>
        </w:r>
        <w:r>
          <w:rPr>
            <w:noProof/>
            <w:webHidden/>
          </w:rPr>
          <w:instrText xml:space="preserve"> PAGEREF _Toc210582162 \h </w:instrText>
        </w:r>
        <w:r>
          <w:rPr>
            <w:noProof/>
            <w:webHidden/>
          </w:rPr>
        </w:r>
        <w:r>
          <w:rPr>
            <w:noProof/>
            <w:webHidden/>
          </w:rPr>
          <w:fldChar w:fldCharType="separate"/>
        </w:r>
        <w:r>
          <w:rPr>
            <w:noProof/>
            <w:webHidden/>
          </w:rPr>
          <w:t>2</w:t>
        </w:r>
        <w:r>
          <w:rPr>
            <w:noProof/>
            <w:webHidden/>
          </w:rPr>
          <w:fldChar w:fldCharType="end"/>
        </w:r>
      </w:hyperlink>
    </w:p>
    <w:p w14:paraId="22DDC389" w14:textId="58C56318" w:rsidR="008E7260" w:rsidRDefault="008E7260">
      <w:pPr>
        <w:pStyle w:val="30"/>
        <w:tabs>
          <w:tab w:val="right" w:leader="dot" w:pos="9350"/>
        </w:tabs>
        <w:rPr>
          <w:noProof/>
        </w:rPr>
      </w:pPr>
      <w:hyperlink w:anchor="_Toc210582163" w:history="1">
        <w:r w:rsidRPr="00EB42A7">
          <w:rPr>
            <w:rStyle w:val="ac"/>
            <w:rFonts w:ascii="Calibri" w:eastAsia="Google Sans" w:hAnsi="Calibri" w:cs="Calibri"/>
            <w:noProof/>
          </w:rPr>
          <w:t>1.1. Национальная энергетическая стратегия и снятие моратория</w:t>
        </w:r>
        <w:r>
          <w:rPr>
            <w:noProof/>
            <w:webHidden/>
          </w:rPr>
          <w:tab/>
        </w:r>
        <w:r>
          <w:rPr>
            <w:noProof/>
            <w:webHidden/>
          </w:rPr>
          <w:fldChar w:fldCharType="begin"/>
        </w:r>
        <w:r>
          <w:rPr>
            <w:noProof/>
            <w:webHidden/>
          </w:rPr>
          <w:instrText xml:space="preserve"> PAGEREF _Toc210582163 \h </w:instrText>
        </w:r>
        <w:r>
          <w:rPr>
            <w:noProof/>
            <w:webHidden/>
          </w:rPr>
        </w:r>
        <w:r>
          <w:rPr>
            <w:noProof/>
            <w:webHidden/>
          </w:rPr>
          <w:fldChar w:fldCharType="separate"/>
        </w:r>
        <w:r>
          <w:rPr>
            <w:noProof/>
            <w:webHidden/>
          </w:rPr>
          <w:t>2</w:t>
        </w:r>
        <w:r>
          <w:rPr>
            <w:noProof/>
            <w:webHidden/>
          </w:rPr>
          <w:fldChar w:fldCharType="end"/>
        </w:r>
      </w:hyperlink>
    </w:p>
    <w:p w14:paraId="30A32E92" w14:textId="2F01B79E" w:rsidR="008E7260" w:rsidRDefault="008E7260">
      <w:pPr>
        <w:pStyle w:val="30"/>
        <w:tabs>
          <w:tab w:val="right" w:leader="dot" w:pos="9350"/>
        </w:tabs>
        <w:rPr>
          <w:noProof/>
        </w:rPr>
      </w:pPr>
      <w:hyperlink w:anchor="_Toc210582164" w:history="1">
        <w:r w:rsidRPr="00EB42A7">
          <w:rPr>
            <w:rStyle w:val="ac"/>
            <w:rFonts w:ascii="Calibri" w:eastAsia="Google Sans" w:hAnsi="Calibri" w:cs="Calibri"/>
            <w:noProof/>
          </w:rPr>
          <w:t>1.2. Текущий ландшафт сотрудничества: Глобальный выбор вендоров</w:t>
        </w:r>
        <w:r>
          <w:rPr>
            <w:noProof/>
            <w:webHidden/>
          </w:rPr>
          <w:tab/>
        </w:r>
        <w:r>
          <w:rPr>
            <w:noProof/>
            <w:webHidden/>
          </w:rPr>
          <w:fldChar w:fldCharType="begin"/>
        </w:r>
        <w:r>
          <w:rPr>
            <w:noProof/>
            <w:webHidden/>
          </w:rPr>
          <w:instrText xml:space="preserve"> PAGEREF _Toc210582164 \h </w:instrText>
        </w:r>
        <w:r>
          <w:rPr>
            <w:noProof/>
            <w:webHidden/>
          </w:rPr>
        </w:r>
        <w:r>
          <w:rPr>
            <w:noProof/>
            <w:webHidden/>
          </w:rPr>
          <w:fldChar w:fldCharType="separate"/>
        </w:r>
        <w:r>
          <w:rPr>
            <w:noProof/>
            <w:webHidden/>
          </w:rPr>
          <w:t>2</w:t>
        </w:r>
        <w:r>
          <w:rPr>
            <w:noProof/>
            <w:webHidden/>
          </w:rPr>
          <w:fldChar w:fldCharType="end"/>
        </w:r>
      </w:hyperlink>
    </w:p>
    <w:p w14:paraId="7F3E672C" w14:textId="169409F5" w:rsidR="008E7260" w:rsidRDefault="008E7260">
      <w:pPr>
        <w:pStyle w:val="30"/>
        <w:tabs>
          <w:tab w:val="right" w:leader="dot" w:pos="9350"/>
        </w:tabs>
        <w:rPr>
          <w:noProof/>
        </w:rPr>
      </w:pPr>
      <w:hyperlink w:anchor="_Toc210582165" w:history="1">
        <w:r w:rsidRPr="00EB42A7">
          <w:rPr>
            <w:rStyle w:val="ac"/>
            <w:rFonts w:ascii="Calibri" w:eastAsia="Google Sans" w:hAnsi="Calibri" w:cs="Calibri"/>
            <w:noProof/>
          </w:rPr>
          <w:t>1.3. Геополитические риски и финансовые императивы</w:t>
        </w:r>
        <w:r>
          <w:rPr>
            <w:noProof/>
            <w:webHidden/>
          </w:rPr>
          <w:tab/>
        </w:r>
        <w:r>
          <w:rPr>
            <w:noProof/>
            <w:webHidden/>
          </w:rPr>
          <w:fldChar w:fldCharType="begin"/>
        </w:r>
        <w:r>
          <w:rPr>
            <w:noProof/>
            <w:webHidden/>
          </w:rPr>
          <w:instrText xml:space="preserve"> PAGEREF _Toc210582165 \h </w:instrText>
        </w:r>
        <w:r>
          <w:rPr>
            <w:noProof/>
            <w:webHidden/>
          </w:rPr>
        </w:r>
        <w:r>
          <w:rPr>
            <w:noProof/>
            <w:webHidden/>
          </w:rPr>
          <w:fldChar w:fldCharType="separate"/>
        </w:r>
        <w:r>
          <w:rPr>
            <w:noProof/>
            <w:webHidden/>
          </w:rPr>
          <w:t>3</w:t>
        </w:r>
        <w:r>
          <w:rPr>
            <w:noProof/>
            <w:webHidden/>
          </w:rPr>
          <w:fldChar w:fldCharType="end"/>
        </w:r>
      </w:hyperlink>
    </w:p>
    <w:p w14:paraId="1808FA29" w14:textId="11A2A5D6" w:rsidR="008E7260" w:rsidRDefault="008E7260">
      <w:pPr>
        <w:pStyle w:val="20"/>
        <w:tabs>
          <w:tab w:val="right" w:leader="dot" w:pos="9350"/>
        </w:tabs>
        <w:rPr>
          <w:noProof/>
        </w:rPr>
      </w:pPr>
      <w:hyperlink w:anchor="_Toc210582166" w:history="1">
        <w:r w:rsidRPr="00EB42A7">
          <w:rPr>
            <w:rStyle w:val="ac"/>
            <w:rFonts w:ascii="Calibri" w:eastAsia="Google Sans" w:hAnsi="Calibri" w:cs="Calibri"/>
            <w:noProof/>
          </w:rPr>
          <w:t>РАЗДЕЛ II: МЕТОДОЛОГИЧЕСКАЯ ОСНОВА МАГАТЭ</w:t>
        </w:r>
        <w:r>
          <w:rPr>
            <w:noProof/>
            <w:webHidden/>
          </w:rPr>
          <w:tab/>
        </w:r>
        <w:r>
          <w:rPr>
            <w:noProof/>
            <w:webHidden/>
          </w:rPr>
          <w:fldChar w:fldCharType="begin"/>
        </w:r>
        <w:r>
          <w:rPr>
            <w:noProof/>
            <w:webHidden/>
          </w:rPr>
          <w:instrText xml:space="preserve"> PAGEREF _Toc210582166 \h </w:instrText>
        </w:r>
        <w:r>
          <w:rPr>
            <w:noProof/>
            <w:webHidden/>
          </w:rPr>
        </w:r>
        <w:r>
          <w:rPr>
            <w:noProof/>
            <w:webHidden/>
          </w:rPr>
          <w:fldChar w:fldCharType="separate"/>
        </w:r>
        <w:r>
          <w:rPr>
            <w:noProof/>
            <w:webHidden/>
          </w:rPr>
          <w:t>4</w:t>
        </w:r>
        <w:r>
          <w:rPr>
            <w:noProof/>
            <w:webHidden/>
          </w:rPr>
          <w:fldChar w:fldCharType="end"/>
        </w:r>
      </w:hyperlink>
    </w:p>
    <w:p w14:paraId="2B71B9A8" w14:textId="281E0861" w:rsidR="008E7260" w:rsidRDefault="008E7260">
      <w:pPr>
        <w:pStyle w:val="30"/>
        <w:tabs>
          <w:tab w:val="right" w:leader="dot" w:pos="9350"/>
        </w:tabs>
        <w:rPr>
          <w:noProof/>
        </w:rPr>
      </w:pPr>
      <w:hyperlink w:anchor="_Toc210582167" w:history="1">
        <w:r w:rsidRPr="00EB42A7">
          <w:rPr>
            <w:rStyle w:val="ac"/>
            <w:rFonts w:ascii="Calibri" w:eastAsia="Google Sans" w:hAnsi="Calibri" w:cs="Calibri"/>
            <w:noProof/>
          </w:rPr>
          <w:t>2.1. Концепция "Вех" МАГАТЭ NG-G-3.1</w:t>
        </w:r>
        <w:r>
          <w:rPr>
            <w:noProof/>
            <w:webHidden/>
          </w:rPr>
          <w:tab/>
        </w:r>
        <w:r>
          <w:rPr>
            <w:noProof/>
            <w:webHidden/>
          </w:rPr>
          <w:fldChar w:fldCharType="begin"/>
        </w:r>
        <w:r>
          <w:rPr>
            <w:noProof/>
            <w:webHidden/>
          </w:rPr>
          <w:instrText xml:space="preserve"> PAGEREF _Toc210582167 \h </w:instrText>
        </w:r>
        <w:r>
          <w:rPr>
            <w:noProof/>
            <w:webHidden/>
          </w:rPr>
        </w:r>
        <w:r>
          <w:rPr>
            <w:noProof/>
            <w:webHidden/>
          </w:rPr>
          <w:fldChar w:fldCharType="separate"/>
        </w:r>
        <w:r>
          <w:rPr>
            <w:noProof/>
            <w:webHidden/>
          </w:rPr>
          <w:t>4</w:t>
        </w:r>
        <w:r>
          <w:rPr>
            <w:noProof/>
            <w:webHidden/>
          </w:rPr>
          <w:fldChar w:fldCharType="end"/>
        </w:r>
      </w:hyperlink>
    </w:p>
    <w:p w14:paraId="44EC35CD" w14:textId="2448BCF2" w:rsidR="008E7260" w:rsidRDefault="008E7260">
      <w:pPr>
        <w:pStyle w:val="30"/>
        <w:tabs>
          <w:tab w:val="right" w:leader="dot" w:pos="9350"/>
        </w:tabs>
        <w:rPr>
          <w:noProof/>
        </w:rPr>
      </w:pPr>
      <w:hyperlink w:anchor="_Toc210582168" w:history="1">
        <w:r w:rsidRPr="00EB42A7">
          <w:rPr>
            <w:rStyle w:val="ac"/>
            <w:rFonts w:ascii="Calibri" w:eastAsia="Google Sans" w:hAnsi="Calibri" w:cs="Calibri"/>
            <w:noProof/>
          </w:rPr>
          <w:t>2.2. Фазы развития национальной инфраструктуры и их продолжительность</w:t>
        </w:r>
        <w:r>
          <w:rPr>
            <w:noProof/>
            <w:webHidden/>
          </w:rPr>
          <w:tab/>
        </w:r>
        <w:r>
          <w:rPr>
            <w:noProof/>
            <w:webHidden/>
          </w:rPr>
          <w:fldChar w:fldCharType="begin"/>
        </w:r>
        <w:r>
          <w:rPr>
            <w:noProof/>
            <w:webHidden/>
          </w:rPr>
          <w:instrText xml:space="preserve"> PAGEREF _Toc210582168 \h </w:instrText>
        </w:r>
        <w:r>
          <w:rPr>
            <w:noProof/>
            <w:webHidden/>
          </w:rPr>
        </w:r>
        <w:r>
          <w:rPr>
            <w:noProof/>
            <w:webHidden/>
          </w:rPr>
          <w:fldChar w:fldCharType="separate"/>
        </w:r>
        <w:r>
          <w:rPr>
            <w:noProof/>
            <w:webHidden/>
          </w:rPr>
          <w:t>4</w:t>
        </w:r>
        <w:r>
          <w:rPr>
            <w:noProof/>
            <w:webHidden/>
          </w:rPr>
          <w:fldChar w:fldCharType="end"/>
        </w:r>
      </w:hyperlink>
    </w:p>
    <w:p w14:paraId="34D8D629" w14:textId="36994C6E" w:rsidR="008E7260" w:rsidRDefault="008E7260">
      <w:pPr>
        <w:pStyle w:val="30"/>
        <w:tabs>
          <w:tab w:val="right" w:leader="dot" w:pos="9350"/>
        </w:tabs>
        <w:rPr>
          <w:noProof/>
        </w:rPr>
      </w:pPr>
      <w:hyperlink w:anchor="_Toc210582169" w:history="1">
        <w:r w:rsidRPr="00EB42A7">
          <w:rPr>
            <w:rStyle w:val="ac"/>
            <w:rFonts w:ascii="Calibri" w:eastAsia="Google Sans" w:hAnsi="Calibri" w:cs="Calibri"/>
            <w:noProof/>
          </w:rPr>
          <w:t>2.3. Анализ продолжительности строительства по TECHNICAL REPORTS SERIES No. 279</w:t>
        </w:r>
        <w:r>
          <w:rPr>
            <w:noProof/>
            <w:webHidden/>
          </w:rPr>
          <w:tab/>
        </w:r>
        <w:r>
          <w:rPr>
            <w:noProof/>
            <w:webHidden/>
          </w:rPr>
          <w:fldChar w:fldCharType="begin"/>
        </w:r>
        <w:r>
          <w:rPr>
            <w:noProof/>
            <w:webHidden/>
          </w:rPr>
          <w:instrText xml:space="preserve"> PAGEREF _Toc210582169 \h </w:instrText>
        </w:r>
        <w:r>
          <w:rPr>
            <w:noProof/>
            <w:webHidden/>
          </w:rPr>
        </w:r>
        <w:r>
          <w:rPr>
            <w:noProof/>
            <w:webHidden/>
          </w:rPr>
          <w:fldChar w:fldCharType="separate"/>
        </w:r>
        <w:r>
          <w:rPr>
            <w:noProof/>
            <w:webHidden/>
          </w:rPr>
          <w:t>5</w:t>
        </w:r>
        <w:r>
          <w:rPr>
            <w:noProof/>
            <w:webHidden/>
          </w:rPr>
          <w:fldChar w:fldCharType="end"/>
        </w:r>
      </w:hyperlink>
    </w:p>
    <w:p w14:paraId="7D9CB0D1" w14:textId="0C7D3315" w:rsidR="008E7260" w:rsidRDefault="008E7260">
      <w:pPr>
        <w:pStyle w:val="20"/>
        <w:tabs>
          <w:tab w:val="right" w:leader="dot" w:pos="9350"/>
        </w:tabs>
        <w:rPr>
          <w:noProof/>
        </w:rPr>
      </w:pPr>
      <w:hyperlink w:anchor="_Toc210582170" w:history="1">
        <w:r w:rsidRPr="00EB42A7">
          <w:rPr>
            <w:rStyle w:val="ac"/>
            <w:rFonts w:ascii="Calibri" w:eastAsia="Google Sans" w:hAnsi="Calibri" w:cs="Calibri"/>
            <w:noProof/>
          </w:rPr>
          <w:t>РАЗДЕЛ III: АНАЛИЗ ПРЕДЛОЖЕНИЙ КРУПНОМАСШТАБНЫХ АЭС</w:t>
        </w:r>
        <w:r>
          <w:rPr>
            <w:noProof/>
            <w:webHidden/>
          </w:rPr>
          <w:tab/>
        </w:r>
        <w:r>
          <w:rPr>
            <w:noProof/>
            <w:webHidden/>
          </w:rPr>
          <w:fldChar w:fldCharType="begin"/>
        </w:r>
        <w:r>
          <w:rPr>
            <w:noProof/>
            <w:webHidden/>
          </w:rPr>
          <w:instrText xml:space="preserve"> PAGEREF _Toc210582170 \h </w:instrText>
        </w:r>
        <w:r>
          <w:rPr>
            <w:noProof/>
            <w:webHidden/>
          </w:rPr>
        </w:r>
        <w:r>
          <w:rPr>
            <w:noProof/>
            <w:webHidden/>
          </w:rPr>
          <w:fldChar w:fldCharType="separate"/>
        </w:r>
        <w:r>
          <w:rPr>
            <w:noProof/>
            <w:webHidden/>
          </w:rPr>
          <w:t>6</w:t>
        </w:r>
        <w:r>
          <w:rPr>
            <w:noProof/>
            <w:webHidden/>
          </w:rPr>
          <w:fldChar w:fldCharType="end"/>
        </w:r>
      </w:hyperlink>
    </w:p>
    <w:p w14:paraId="7F383E87" w14:textId="151670CF" w:rsidR="008E7260" w:rsidRDefault="008E7260">
      <w:pPr>
        <w:pStyle w:val="30"/>
        <w:tabs>
          <w:tab w:val="right" w:leader="dot" w:pos="9350"/>
        </w:tabs>
        <w:rPr>
          <w:noProof/>
        </w:rPr>
      </w:pPr>
      <w:hyperlink w:anchor="_Toc210582171" w:history="1">
        <w:r w:rsidRPr="00EB42A7">
          <w:rPr>
            <w:rStyle w:val="ac"/>
            <w:rFonts w:ascii="Calibri" w:eastAsia="Google Sans" w:hAnsi="Calibri" w:cs="Calibri"/>
            <w:noProof/>
          </w:rPr>
          <w:t>3.1. Россия (Rosatom): ВВЭР-1200</w:t>
        </w:r>
        <w:r>
          <w:rPr>
            <w:noProof/>
            <w:webHidden/>
          </w:rPr>
          <w:tab/>
        </w:r>
        <w:r>
          <w:rPr>
            <w:noProof/>
            <w:webHidden/>
          </w:rPr>
          <w:fldChar w:fldCharType="begin"/>
        </w:r>
        <w:r>
          <w:rPr>
            <w:noProof/>
            <w:webHidden/>
          </w:rPr>
          <w:instrText xml:space="preserve"> PAGEREF _Toc210582171 \h </w:instrText>
        </w:r>
        <w:r>
          <w:rPr>
            <w:noProof/>
            <w:webHidden/>
          </w:rPr>
        </w:r>
        <w:r>
          <w:rPr>
            <w:noProof/>
            <w:webHidden/>
          </w:rPr>
          <w:fldChar w:fldCharType="separate"/>
        </w:r>
        <w:r>
          <w:rPr>
            <w:noProof/>
            <w:webHidden/>
          </w:rPr>
          <w:t>6</w:t>
        </w:r>
        <w:r>
          <w:rPr>
            <w:noProof/>
            <w:webHidden/>
          </w:rPr>
          <w:fldChar w:fldCharType="end"/>
        </w:r>
      </w:hyperlink>
    </w:p>
    <w:p w14:paraId="2BC3C3F2" w14:textId="294CE800" w:rsidR="008E7260" w:rsidRDefault="008E7260">
      <w:pPr>
        <w:pStyle w:val="30"/>
        <w:tabs>
          <w:tab w:val="right" w:leader="dot" w:pos="9350"/>
        </w:tabs>
        <w:rPr>
          <w:noProof/>
        </w:rPr>
      </w:pPr>
      <w:hyperlink w:anchor="_Toc210582172" w:history="1">
        <w:r w:rsidRPr="00EB42A7">
          <w:rPr>
            <w:rStyle w:val="ac"/>
            <w:rFonts w:ascii="Calibri" w:eastAsia="Google Sans" w:hAnsi="Calibri" w:cs="Calibri"/>
            <w:noProof/>
          </w:rPr>
          <w:t>3.2. Южная Корея (KHNP): APR-1400</w:t>
        </w:r>
        <w:r>
          <w:rPr>
            <w:noProof/>
            <w:webHidden/>
          </w:rPr>
          <w:tab/>
        </w:r>
        <w:r>
          <w:rPr>
            <w:noProof/>
            <w:webHidden/>
          </w:rPr>
          <w:fldChar w:fldCharType="begin"/>
        </w:r>
        <w:r>
          <w:rPr>
            <w:noProof/>
            <w:webHidden/>
          </w:rPr>
          <w:instrText xml:space="preserve"> PAGEREF _Toc210582172 \h </w:instrText>
        </w:r>
        <w:r>
          <w:rPr>
            <w:noProof/>
            <w:webHidden/>
          </w:rPr>
        </w:r>
        <w:r>
          <w:rPr>
            <w:noProof/>
            <w:webHidden/>
          </w:rPr>
          <w:fldChar w:fldCharType="separate"/>
        </w:r>
        <w:r>
          <w:rPr>
            <w:noProof/>
            <w:webHidden/>
          </w:rPr>
          <w:t>6</w:t>
        </w:r>
        <w:r>
          <w:rPr>
            <w:noProof/>
            <w:webHidden/>
          </w:rPr>
          <w:fldChar w:fldCharType="end"/>
        </w:r>
      </w:hyperlink>
    </w:p>
    <w:p w14:paraId="1040DAFB" w14:textId="21A15ED6" w:rsidR="008E7260" w:rsidRDefault="008E7260">
      <w:pPr>
        <w:pStyle w:val="30"/>
        <w:tabs>
          <w:tab w:val="right" w:leader="dot" w:pos="9350"/>
        </w:tabs>
        <w:rPr>
          <w:noProof/>
        </w:rPr>
      </w:pPr>
      <w:hyperlink w:anchor="_Toc210582173" w:history="1">
        <w:r w:rsidRPr="00EB42A7">
          <w:rPr>
            <w:rStyle w:val="ac"/>
            <w:rFonts w:ascii="Calibri" w:eastAsia="Google Sans" w:hAnsi="Calibri" w:cs="Calibri"/>
            <w:noProof/>
          </w:rPr>
          <w:t>3.3. Франция (EDF): EPR2</w:t>
        </w:r>
        <w:r>
          <w:rPr>
            <w:noProof/>
            <w:webHidden/>
          </w:rPr>
          <w:tab/>
        </w:r>
        <w:r>
          <w:rPr>
            <w:noProof/>
            <w:webHidden/>
          </w:rPr>
          <w:fldChar w:fldCharType="begin"/>
        </w:r>
        <w:r>
          <w:rPr>
            <w:noProof/>
            <w:webHidden/>
          </w:rPr>
          <w:instrText xml:space="preserve"> PAGEREF _Toc210582173 \h </w:instrText>
        </w:r>
        <w:r>
          <w:rPr>
            <w:noProof/>
            <w:webHidden/>
          </w:rPr>
        </w:r>
        <w:r>
          <w:rPr>
            <w:noProof/>
            <w:webHidden/>
          </w:rPr>
          <w:fldChar w:fldCharType="separate"/>
        </w:r>
        <w:r>
          <w:rPr>
            <w:noProof/>
            <w:webHidden/>
          </w:rPr>
          <w:t>6</w:t>
        </w:r>
        <w:r>
          <w:rPr>
            <w:noProof/>
            <w:webHidden/>
          </w:rPr>
          <w:fldChar w:fldCharType="end"/>
        </w:r>
      </w:hyperlink>
    </w:p>
    <w:p w14:paraId="231D8E46" w14:textId="4B819716" w:rsidR="008E7260" w:rsidRDefault="008E7260">
      <w:pPr>
        <w:pStyle w:val="30"/>
        <w:tabs>
          <w:tab w:val="right" w:leader="dot" w:pos="9350"/>
        </w:tabs>
        <w:rPr>
          <w:noProof/>
        </w:rPr>
      </w:pPr>
      <w:hyperlink w:anchor="_Toc210582174" w:history="1">
        <w:r w:rsidRPr="00EB42A7">
          <w:rPr>
            <w:rStyle w:val="ac"/>
            <w:rFonts w:ascii="Calibri" w:eastAsia="Google Sans" w:hAnsi="Calibri" w:cs="Calibri"/>
            <w:noProof/>
          </w:rPr>
          <w:t>3.4. США (Westinghouse): AP1000</w:t>
        </w:r>
        <w:r>
          <w:rPr>
            <w:noProof/>
            <w:webHidden/>
          </w:rPr>
          <w:tab/>
        </w:r>
        <w:r>
          <w:rPr>
            <w:noProof/>
            <w:webHidden/>
          </w:rPr>
          <w:fldChar w:fldCharType="begin"/>
        </w:r>
        <w:r>
          <w:rPr>
            <w:noProof/>
            <w:webHidden/>
          </w:rPr>
          <w:instrText xml:space="preserve"> PAGEREF _Toc210582174 \h </w:instrText>
        </w:r>
        <w:r>
          <w:rPr>
            <w:noProof/>
            <w:webHidden/>
          </w:rPr>
        </w:r>
        <w:r>
          <w:rPr>
            <w:noProof/>
            <w:webHidden/>
          </w:rPr>
          <w:fldChar w:fldCharType="separate"/>
        </w:r>
        <w:r>
          <w:rPr>
            <w:noProof/>
            <w:webHidden/>
          </w:rPr>
          <w:t>7</w:t>
        </w:r>
        <w:r>
          <w:rPr>
            <w:noProof/>
            <w:webHidden/>
          </w:rPr>
          <w:fldChar w:fldCharType="end"/>
        </w:r>
      </w:hyperlink>
    </w:p>
    <w:p w14:paraId="3FE7EB05" w14:textId="72139072" w:rsidR="008E7260" w:rsidRDefault="008E7260">
      <w:pPr>
        <w:pStyle w:val="30"/>
        <w:tabs>
          <w:tab w:val="right" w:leader="dot" w:pos="9350"/>
        </w:tabs>
        <w:rPr>
          <w:noProof/>
        </w:rPr>
      </w:pPr>
      <w:hyperlink w:anchor="_Toc210582175" w:history="1">
        <w:r w:rsidRPr="00EB42A7">
          <w:rPr>
            <w:rStyle w:val="ac"/>
            <w:rFonts w:ascii="Calibri" w:eastAsia="Google Sans" w:hAnsi="Calibri" w:cs="Calibri"/>
            <w:noProof/>
          </w:rPr>
          <w:t>3.5. Китай (CNNC/CGN): HPR1000</w:t>
        </w:r>
        <w:r>
          <w:rPr>
            <w:noProof/>
            <w:webHidden/>
          </w:rPr>
          <w:tab/>
        </w:r>
        <w:r>
          <w:rPr>
            <w:noProof/>
            <w:webHidden/>
          </w:rPr>
          <w:fldChar w:fldCharType="begin"/>
        </w:r>
        <w:r>
          <w:rPr>
            <w:noProof/>
            <w:webHidden/>
          </w:rPr>
          <w:instrText xml:space="preserve"> PAGEREF _Toc210582175 \h </w:instrText>
        </w:r>
        <w:r>
          <w:rPr>
            <w:noProof/>
            <w:webHidden/>
          </w:rPr>
        </w:r>
        <w:r>
          <w:rPr>
            <w:noProof/>
            <w:webHidden/>
          </w:rPr>
          <w:fldChar w:fldCharType="separate"/>
        </w:r>
        <w:r>
          <w:rPr>
            <w:noProof/>
            <w:webHidden/>
          </w:rPr>
          <w:t>7</w:t>
        </w:r>
        <w:r>
          <w:rPr>
            <w:noProof/>
            <w:webHidden/>
          </w:rPr>
          <w:fldChar w:fldCharType="end"/>
        </w:r>
      </w:hyperlink>
    </w:p>
    <w:p w14:paraId="3F30059E" w14:textId="5F71A96B" w:rsidR="008E7260" w:rsidRDefault="008E7260">
      <w:pPr>
        <w:pStyle w:val="20"/>
        <w:tabs>
          <w:tab w:val="right" w:leader="dot" w:pos="9350"/>
        </w:tabs>
        <w:rPr>
          <w:noProof/>
        </w:rPr>
      </w:pPr>
      <w:hyperlink w:anchor="_Toc210582176" w:history="1">
        <w:r w:rsidRPr="00EB42A7">
          <w:rPr>
            <w:rStyle w:val="ac"/>
            <w:rFonts w:ascii="Calibri" w:eastAsia="Google Sans" w:hAnsi="Calibri" w:cs="Calibri"/>
            <w:noProof/>
          </w:rPr>
          <w:t>РАЗДЕЛ IV: АНАЛИЗ ПРЕДЛОЖЕНИЙ МАЛЫХ МОДУЛЬНЫХ РЕАКТОРОВ (ММР)</w:t>
        </w:r>
        <w:r>
          <w:rPr>
            <w:noProof/>
            <w:webHidden/>
          </w:rPr>
          <w:tab/>
        </w:r>
        <w:r>
          <w:rPr>
            <w:noProof/>
            <w:webHidden/>
          </w:rPr>
          <w:fldChar w:fldCharType="begin"/>
        </w:r>
        <w:r>
          <w:rPr>
            <w:noProof/>
            <w:webHidden/>
          </w:rPr>
          <w:instrText xml:space="preserve"> PAGEREF _Toc210582176 \h </w:instrText>
        </w:r>
        <w:r>
          <w:rPr>
            <w:noProof/>
            <w:webHidden/>
          </w:rPr>
        </w:r>
        <w:r>
          <w:rPr>
            <w:noProof/>
            <w:webHidden/>
          </w:rPr>
          <w:fldChar w:fldCharType="separate"/>
        </w:r>
        <w:r>
          <w:rPr>
            <w:noProof/>
            <w:webHidden/>
          </w:rPr>
          <w:t>8</w:t>
        </w:r>
        <w:r>
          <w:rPr>
            <w:noProof/>
            <w:webHidden/>
          </w:rPr>
          <w:fldChar w:fldCharType="end"/>
        </w:r>
      </w:hyperlink>
    </w:p>
    <w:p w14:paraId="30546055" w14:textId="32933BFE" w:rsidR="008E7260" w:rsidRDefault="008E7260">
      <w:pPr>
        <w:pStyle w:val="30"/>
        <w:tabs>
          <w:tab w:val="right" w:leader="dot" w:pos="9350"/>
        </w:tabs>
        <w:rPr>
          <w:noProof/>
        </w:rPr>
      </w:pPr>
      <w:hyperlink w:anchor="_Toc210582177" w:history="1">
        <w:r w:rsidRPr="00EB42A7">
          <w:rPr>
            <w:rStyle w:val="ac"/>
            <w:rFonts w:ascii="Calibri" w:eastAsia="Google Sans" w:hAnsi="Calibri" w:cs="Calibri"/>
            <w:noProof/>
          </w:rPr>
          <w:t>4.1. Концепция ММР: Преимущества и экономика</w:t>
        </w:r>
        <w:r>
          <w:rPr>
            <w:noProof/>
            <w:webHidden/>
          </w:rPr>
          <w:tab/>
        </w:r>
        <w:r>
          <w:rPr>
            <w:noProof/>
            <w:webHidden/>
          </w:rPr>
          <w:fldChar w:fldCharType="begin"/>
        </w:r>
        <w:r>
          <w:rPr>
            <w:noProof/>
            <w:webHidden/>
          </w:rPr>
          <w:instrText xml:space="preserve"> PAGEREF _Toc210582177 \h </w:instrText>
        </w:r>
        <w:r>
          <w:rPr>
            <w:noProof/>
            <w:webHidden/>
          </w:rPr>
        </w:r>
        <w:r>
          <w:rPr>
            <w:noProof/>
            <w:webHidden/>
          </w:rPr>
          <w:fldChar w:fldCharType="separate"/>
        </w:r>
        <w:r>
          <w:rPr>
            <w:noProof/>
            <w:webHidden/>
          </w:rPr>
          <w:t>8</w:t>
        </w:r>
        <w:r>
          <w:rPr>
            <w:noProof/>
            <w:webHidden/>
          </w:rPr>
          <w:fldChar w:fldCharType="end"/>
        </w:r>
      </w:hyperlink>
    </w:p>
    <w:p w14:paraId="30005FDE" w14:textId="7715CEFB" w:rsidR="008E7260" w:rsidRDefault="008E7260">
      <w:pPr>
        <w:pStyle w:val="30"/>
        <w:tabs>
          <w:tab w:val="right" w:leader="dot" w:pos="9350"/>
        </w:tabs>
        <w:rPr>
          <w:noProof/>
        </w:rPr>
      </w:pPr>
      <w:hyperlink w:anchor="_Toc210582178" w:history="1">
        <w:r w:rsidRPr="00EB42A7">
          <w:rPr>
            <w:rStyle w:val="ac"/>
            <w:rFonts w:ascii="Calibri" w:eastAsia="Google Sans" w:hAnsi="Calibri" w:cs="Calibri"/>
            <w:noProof/>
          </w:rPr>
          <w:t>4.2. Обзор ключевых технологий ММР и разрыв FOAK–NOAK</w:t>
        </w:r>
        <w:r>
          <w:rPr>
            <w:noProof/>
            <w:webHidden/>
          </w:rPr>
          <w:tab/>
        </w:r>
        <w:r>
          <w:rPr>
            <w:noProof/>
            <w:webHidden/>
          </w:rPr>
          <w:fldChar w:fldCharType="begin"/>
        </w:r>
        <w:r>
          <w:rPr>
            <w:noProof/>
            <w:webHidden/>
          </w:rPr>
          <w:instrText xml:space="preserve"> PAGEREF _Toc210582178 \h </w:instrText>
        </w:r>
        <w:r>
          <w:rPr>
            <w:noProof/>
            <w:webHidden/>
          </w:rPr>
        </w:r>
        <w:r>
          <w:rPr>
            <w:noProof/>
            <w:webHidden/>
          </w:rPr>
          <w:fldChar w:fldCharType="separate"/>
        </w:r>
        <w:r>
          <w:rPr>
            <w:noProof/>
            <w:webHidden/>
          </w:rPr>
          <w:t>9</w:t>
        </w:r>
        <w:r>
          <w:rPr>
            <w:noProof/>
            <w:webHidden/>
          </w:rPr>
          <w:fldChar w:fldCharType="end"/>
        </w:r>
      </w:hyperlink>
    </w:p>
    <w:p w14:paraId="196A89F6" w14:textId="4B8B6881" w:rsidR="008E7260" w:rsidRDefault="008E7260">
      <w:pPr>
        <w:pStyle w:val="20"/>
        <w:tabs>
          <w:tab w:val="right" w:leader="dot" w:pos="9350"/>
        </w:tabs>
        <w:rPr>
          <w:noProof/>
        </w:rPr>
      </w:pPr>
      <w:hyperlink w:anchor="_Toc210582179" w:history="1">
        <w:r w:rsidRPr="00EB42A7">
          <w:rPr>
            <w:rStyle w:val="ac"/>
            <w:rFonts w:ascii="Calibri" w:eastAsia="Google Sans" w:hAnsi="Calibri" w:cs="Calibri"/>
            <w:noProof/>
          </w:rPr>
          <w:t>РАЗДЕЛ V: СВОДНЫЙ АНАЛИЗ СРОКОВ И ПРОЕКТНЫХ ВЕХ</w:t>
        </w:r>
        <w:r>
          <w:rPr>
            <w:noProof/>
            <w:webHidden/>
          </w:rPr>
          <w:tab/>
        </w:r>
        <w:r>
          <w:rPr>
            <w:noProof/>
            <w:webHidden/>
          </w:rPr>
          <w:fldChar w:fldCharType="begin"/>
        </w:r>
        <w:r>
          <w:rPr>
            <w:noProof/>
            <w:webHidden/>
          </w:rPr>
          <w:instrText xml:space="preserve"> PAGEREF _Toc210582179 \h </w:instrText>
        </w:r>
        <w:r>
          <w:rPr>
            <w:noProof/>
            <w:webHidden/>
          </w:rPr>
        </w:r>
        <w:r>
          <w:rPr>
            <w:noProof/>
            <w:webHidden/>
          </w:rPr>
          <w:fldChar w:fldCharType="separate"/>
        </w:r>
        <w:r>
          <w:rPr>
            <w:noProof/>
            <w:webHidden/>
          </w:rPr>
          <w:t>10</w:t>
        </w:r>
        <w:r>
          <w:rPr>
            <w:noProof/>
            <w:webHidden/>
          </w:rPr>
          <w:fldChar w:fldCharType="end"/>
        </w:r>
      </w:hyperlink>
    </w:p>
    <w:p w14:paraId="273B72B1" w14:textId="10FD4829" w:rsidR="008E7260" w:rsidRDefault="008E7260">
      <w:pPr>
        <w:pStyle w:val="30"/>
        <w:tabs>
          <w:tab w:val="right" w:leader="dot" w:pos="9350"/>
        </w:tabs>
        <w:rPr>
          <w:noProof/>
        </w:rPr>
      </w:pPr>
      <w:hyperlink w:anchor="_Toc210582180" w:history="1">
        <w:r w:rsidRPr="00EB42A7">
          <w:rPr>
            <w:rStyle w:val="ac"/>
            <w:rFonts w:ascii="Calibri" w:eastAsia="Google Sans" w:hAnsi="Calibri" w:cs="Calibri"/>
            <w:noProof/>
          </w:rPr>
          <w:t>5.1. Моделирование общей продолжительности проекта для Сербии</w:t>
        </w:r>
        <w:r>
          <w:rPr>
            <w:noProof/>
            <w:webHidden/>
          </w:rPr>
          <w:tab/>
        </w:r>
        <w:r>
          <w:rPr>
            <w:noProof/>
            <w:webHidden/>
          </w:rPr>
          <w:fldChar w:fldCharType="begin"/>
        </w:r>
        <w:r>
          <w:rPr>
            <w:noProof/>
            <w:webHidden/>
          </w:rPr>
          <w:instrText xml:space="preserve"> PAGEREF _Toc210582180 \h </w:instrText>
        </w:r>
        <w:r>
          <w:rPr>
            <w:noProof/>
            <w:webHidden/>
          </w:rPr>
        </w:r>
        <w:r>
          <w:rPr>
            <w:noProof/>
            <w:webHidden/>
          </w:rPr>
          <w:fldChar w:fldCharType="separate"/>
        </w:r>
        <w:r>
          <w:rPr>
            <w:noProof/>
            <w:webHidden/>
          </w:rPr>
          <w:t>10</w:t>
        </w:r>
        <w:r>
          <w:rPr>
            <w:noProof/>
            <w:webHidden/>
          </w:rPr>
          <w:fldChar w:fldCharType="end"/>
        </w:r>
      </w:hyperlink>
    </w:p>
    <w:p w14:paraId="2EABBF5A" w14:textId="4B64DE89" w:rsidR="008E7260" w:rsidRDefault="008E7260">
      <w:pPr>
        <w:pStyle w:val="30"/>
        <w:tabs>
          <w:tab w:val="right" w:leader="dot" w:pos="9350"/>
        </w:tabs>
        <w:rPr>
          <w:noProof/>
        </w:rPr>
      </w:pPr>
      <w:hyperlink w:anchor="_Toc210582181" w:history="1">
        <w:r w:rsidRPr="00EB42A7">
          <w:rPr>
            <w:rStyle w:val="ac"/>
            <w:rFonts w:ascii="Calibri" w:eastAsia="Google Sans" w:hAnsi="Calibri" w:cs="Calibri"/>
            <w:noProof/>
          </w:rPr>
          <w:t>5.2. Сравнительный анализ сроков строительства и ввода в эксплуатацию</w:t>
        </w:r>
        <w:r>
          <w:rPr>
            <w:noProof/>
            <w:webHidden/>
          </w:rPr>
          <w:tab/>
        </w:r>
        <w:r>
          <w:rPr>
            <w:noProof/>
            <w:webHidden/>
          </w:rPr>
          <w:fldChar w:fldCharType="begin"/>
        </w:r>
        <w:r>
          <w:rPr>
            <w:noProof/>
            <w:webHidden/>
          </w:rPr>
          <w:instrText xml:space="preserve"> PAGEREF _Toc210582181 \h </w:instrText>
        </w:r>
        <w:r>
          <w:rPr>
            <w:noProof/>
            <w:webHidden/>
          </w:rPr>
        </w:r>
        <w:r>
          <w:rPr>
            <w:noProof/>
            <w:webHidden/>
          </w:rPr>
          <w:fldChar w:fldCharType="separate"/>
        </w:r>
        <w:r>
          <w:rPr>
            <w:noProof/>
            <w:webHidden/>
          </w:rPr>
          <w:t>11</w:t>
        </w:r>
        <w:r>
          <w:rPr>
            <w:noProof/>
            <w:webHidden/>
          </w:rPr>
          <w:fldChar w:fldCharType="end"/>
        </w:r>
      </w:hyperlink>
    </w:p>
    <w:p w14:paraId="0DD8AB60" w14:textId="36B45DFE" w:rsidR="008E7260" w:rsidRDefault="008E7260">
      <w:pPr>
        <w:pStyle w:val="30"/>
        <w:tabs>
          <w:tab w:val="right" w:leader="dot" w:pos="9350"/>
        </w:tabs>
        <w:rPr>
          <w:noProof/>
        </w:rPr>
      </w:pPr>
      <w:hyperlink w:anchor="_Toc210582182" w:history="1">
        <w:r w:rsidRPr="00EB42A7">
          <w:rPr>
            <w:rStyle w:val="ac"/>
            <w:rFonts w:ascii="Calibri" w:eastAsia="Google Sans" w:hAnsi="Calibri" w:cs="Calibri"/>
            <w:noProof/>
          </w:rPr>
          <w:t>5.3. Обязательная таблица: Ожидаемая продолжительность этапов и вех по МАГАТЭ</w:t>
        </w:r>
        <w:r>
          <w:rPr>
            <w:noProof/>
            <w:webHidden/>
          </w:rPr>
          <w:tab/>
        </w:r>
        <w:r>
          <w:rPr>
            <w:noProof/>
            <w:webHidden/>
          </w:rPr>
          <w:fldChar w:fldCharType="begin"/>
        </w:r>
        <w:r>
          <w:rPr>
            <w:noProof/>
            <w:webHidden/>
          </w:rPr>
          <w:instrText xml:space="preserve"> PAGEREF _Toc210582182 \h </w:instrText>
        </w:r>
        <w:r>
          <w:rPr>
            <w:noProof/>
            <w:webHidden/>
          </w:rPr>
        </w:r>
        <w:r>
          <w:rPr>
            <w:noProof/>
            <w:webHidden/>
          </w:rPr>
          <w:fldChar w:fldCharType="separate"/>
        </w:r>
        <w:r>
          <w:rPr>
            <w:noProof/>
            <w:webHidden/>
          </w:rPr>
          <w:t>11</w:t>
        </w:r>
        <w:r>
          <w:rPr>
            <w:noProof/>
            <w:webHidden/>
          </w:rPr>
          <w:fldChar w:fldCharType="end"/>
        </w:r>
      </w:hyperlink>
    </w:p>
    <w:p w14:paraId="4C3346E2" w14:textId="07DA9082" w:rsidR="008E7260" w:rsidRDefault="008E7260">
      <w:pPr>
        <w:pStyle w:val="20"/>
        <w:tabs>
          <w:tab w:val="right" w:leader="dot" w:pos="9350"/>
        </w:tabs>
        <w:rPr>
          <w:noProof/>
        </w:rPr>
      </w:pPr>
      <w:hyperlink w:anchor="_Toc210582183" w:history="1">
        <w:r w:rsidRPr="00EB42A7">
          <w:rPr>
            <w:rStyle w:val="ac"/>
            <w:rFonts w:ascii="Calibri" w:eastAsia="Google Sans" w:hAnsi="Calibri" w:cs="Calibri"/>
            <w:noProof/>
          </w:rPr>
          <w:t>РАЗДЕЛ VI: ВЫВОДЫ И СТРАТЕГИЧЕСКИЕ РЕКОМЕНДАЦИИ</w:t>
        </w:r>
        <w:r>
          <w:rPr>
            <w:noProof/>
            <w:webHidden/>
          </w:rPr>
          <w:tab/>
        </w:r>
        <w:r>
          <w:rPr>
            <w:noProof/>
            <w:webHidden/>
          </w:rPr>
          <w:fldChar w:fldCharType="begin"/>
        </w:r>
        <w:r>
          <w:rPr>
            <w:noProof/>
            <w:webHidden/>
          </w:rPr>
          <w:instrText xml:space="preserve"> PAGEREF _Toc210582183 \h </w:instrText>
        </w:r>
        <w:r>
          <w:rPr>
            <w:noProof/>
            <w:webHidden/>
          </w:rPr>
        </w:r>
        <w:r>
          <w:rPr>
            <w:noProof/>
            <w:webHidden/>
          </w:rPr>
          <w:fldChar w:fldCharType="separate"/>
        </w:r>
        <w:r>
          <w:rPr>
            <w:noProof/>
            <w:webHidden/>
          </w:rPr>
          <w:t>12</w:t>
        </w:r>
        <w:r>
          <w:rPr>
            <w:noProof/>
            <w:webHidden/>
          </w:rPr>
          <w:fldChar w:fldCharType="end"/>
        </w:r>
      </w:hyperlink>
    </w:p>
    <w:p w14:paraId="6633311A" w14:textId="33809219" w:rsidR="008E7260" w:rsidRDefault="008E7260">
      <w:pPr>
        <w:pStyle w:val="30"/>
        <w:tabs>
          <w:tab w:val="right" w:leader="dot" w:pos="9350"/>
        </w:tabs>
        <w:rPr>
          <w:noProof/>
        </w:rPr>
      </w:pPr>
      <w:hyperlink w:anchor="_Toc210582184" w:history="1">
        <w:r w:rsidRPr="00EB42A7">
          <w:rPr>
            <w:rStyle w:val="ac"/>
            <w:rFonts w:ascii="Calibri" w:eastAsia="Google Sans" w:hAnsi="Calibri" w:cs="Calibri"/>
            <w:noProof/>
          </w:rPr>
          <w:t>6.1. Синтез стратегического выбора технологии</w:t>
        </w:r>
        <w:r>
          <w:rPr>
            <w:noProof/>
            <w:webHidden/>
          </w:rPr>
          <w:tab/>
        </w:r>
        <w:r>
          <w:rPr>
            <w:noProof/>
            <w:webHidden/>
          </w:rPr>
          <w:fldChar w:fldCharType="begin"/>
        </w:r>
        <w:r>
          <w:rPr>
            <w:noProof/>
            <w:webHidden/>
          </w:rPr>
          <w:instrText xml:space="preserve"> PAGEREF _Toc210582184 \h </w:instrText>
        </w:r>
        <w:r>
          <w:rPr>
            <w:noProof/>
            <w:webHidden/>
          </w:rPr>
        </w:r>
        <w:r>
          <w:rPr>
            <w:noProof/>
            <w:webHidden/>
          </w:rPr>
          <w:fldChar w:fldCharType="separate"/>
        </w:r>
        <w:r>
          <w:rPr>
            <w:noProof/>
            <w:webHidden/>
          </w:rPr>
          <w:t>12</w:t>
        </w:r>
        <w:r>
          <w:rPr>
            <w:noProof/>
            <w:webHidden/>
          </w:rPr>
          <w:fldChar w:fldCharType="end"/>
        </w:r>
      </w:hyperlink>
    </w:p>
    <w:p w14:paraId="54EFACF4" w14:textId="2FA3D37F" w:rsidR="008E7260" w:rsidRDefault="008E7260">
      <w:pPr>
        <w:pStyle w:val="30"/>
        <w:tabs>
          <w:tab w:val="right" w:leader="dot" w:pos="9350"/>
        </w:tabs>
        <w:rPr>
          <w:noProof/>
        </w:rPr>
      </w:pPr>
      <w:hyperlink w:anchor="_Toc210582185" w:history="1">
        <w:r w:rsidRPr="00EB42A7">
          <w:rPr>
            <w:rStyle w:val="ac"/>
            <w:rFonts w:ascii="Calibri" w:eastAsia="Google Sans" w:hAnsi="Calibri" w:cs="Calibri"/>
            <w:noProof/>
          </w:rPr>
          <w:t>6.2. Рекомендации по ускорению программы и управлению рисками</w:t>
        </w:r>
        <w:r>
          <w:rPr>
            <w:noProof/>
            <w:webHidden/>
          </w:rPr>
          <w:tab/>
        </w:r>
        <w:r>
          <w:rPr>
            <w:noProof/>
            <w:webHidden/>
          </w:rPr>
          <w:fldChar w:fldCharType="begin"/>
        </w:r>
        <w:r>
          <w:rPr>
            <w:noProof/>
            <w:webHidden/>
          </w:rPr>
          <w:instrText xml:space="preserve"> PAGEREF _Toc210582185 \h </w:instrText>
        </w:r>
        <w:r>
          <w:rPr>
            <w:noProof/>
            <w:webHidden/>
          </w:rPr>
        </w:r>
        <w:r>
          <w:rPr>
            <w:noProof/>
            <w:webHidden/>
          </w:rPr>
          <w:fldChar w:fldCharType="separate"/>
        </w:r>
        <w:r>
          <w:rPr>
            <w:noProof/>
            <w:webHidden/>
          </w:rPr>
          <w:t>13</w:t>
        </w:r>
        <w:r>
          <w:rPr>
            <w:noProof/>
            <w:webHidden/>
          </w:rPr>
          <w:fldChar w:fldCharType="end"/>
        </w:r>
      </w:hyperlink>
    </w:p>
    <w:p w14:paraId="032DCF87" w14:textId="77C4CDAC" w:rsidR="008E7260" w:rsidRPr="008E7260" w:rsidRDefault="008E7260" w:rsidP="008E7260">
      <w:pPr>
        <w:rPr>
          <w:rFonts w:asciiTheme="majorHAnsi" w:hAnsiTheme="majorHAnsi" w:cstheme="majorHAnsi"/>
          <w:b/>
          <w:bCs/>
          <w:sz w:val="36"/>
          <w:szCs w:val="36"/>
          <w:lang w:val="ru-RU"/>
        </w:rPr>
      </w:pPr>
      <w:r>
        <w:rPr>
          <w:rFonts w:asciiTheme="majorHAnsi" w:hAnsiTheme="majorHAnsi" w:cstheme="majorHAnsi"/>
          <w:b/>
          <w:bCs/>
          <w:sz w:val="36"/>
          <w:szCs w:val="36"/>
          <w:lang w:val="ru-RU"/>
        </w:rPr>
        <w:fldChar w:fldCharType="end"/>
      </w:r>
    </w:p>
    <w:p w14:paraId="2EE31833" w14:textId="77777777" w:rsidR="008E7260" w:rsidRDefault="008E7260" w:rsidP="008E7260">
      <w:pPr>
        <w:rPr>
          <w:lang w:val="ru-RU"/>
        </w:rPr>
      </w:pPr>
    </w:p>
    <w:p w14:paraId="5B3B5D5B" w14:textId="77777777" w:rsidR="008E7260" w:rsidRPr="008E7260" w:rsidRDefault="008E7260" w:rsidP="008E7260">
      <w:pPr>
        <w:rPr>
          <w:lang w:val="ru-RU"/>
        </w:rPr>
      </w:pPr>
    </w:p>
    <w:p w14:paraId="19C9B682" w14:textId="55B994C3" w:rsidR="00A7701B" w:rsidRPr="00000523" w:rsidRDefault="00000000" w:rsidP="00000523">
      <w:pPr>
        <w:pStyle w:val="2"/>
        <w:spacing w:before="0" w:after="120" w:line="275" w:lineRule="auto"/>
        <w:jc w:val="both"/>
        <w:rPr>
          <w:rFonts w:ascii="Calibri" w:eastAsia="Google Sans" w:hAnsi="Calibri" w:cs="Calibri"/>
          <w:color w:val="1B1C1D"/>
        </w:rPr>
      </w:pPr>
      <w:bookmarkStart w:id="0" w:name="_Toc210582162"/>
      <w:r w:rsidRPr="00000523">
        <w:rPr>
          <w:rFonts w:ascii="Calibri" w:eastAsia="Google Sans" w:hAnsi="Calibri" w:cs="Calibri"/>
          <w:color w:val="1B1C1D"/>
        </w:rPr>
        <w:t>РАЗДЕЛ I: СЕРБИЯ И СТРАТЕГИЧЕСКИЕ ПРЕДПОСЫЛКИ ДЛЯ ЯДЕРНОЙ ЭНЕРГЕТИКИ</w:t>
      </w:r>
      <w:bookmarkEnd w:id="0"/>
    </w:p>
    <w:p w14:paraId="6ECF6149"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1" w:name="_Toc210582163"/>
      <w:r w:rsidRPr="00000523">
        <w:rPr>
          <w:rFonts w:ascii="Calibri" w:eastAsia="Google Sans" w:hAnsi="Calibri" w:cs="Calibri"/>
          <w:color w:val="1B1C1D"/>
        </w:rPr>
        <w:t>1.1. Национальная энергетическая стратегия и снятие моратория</w:t>
      </w:r>
      <w:bookmarkEnd w:id="1"/>
    </w:p>
    <w:p w14:paraId="78B1BD8F"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Национальная энергетическая политика Сербии переживает кардинальные изменения. В ноябре 2024 года Сербия приняла решение об отмене исторического запрета на строительство атомных электростанций, который действовал со времен бывшей Югославии, введенный в 1989 году после Чернобыльской катастрофы.</w:t>
      </w:r>
      <w:r w:rsidRPr="00000523">
        <w:rPr>
          <w:rFonts w:ascii="Calibri" w:eastAsia="Google Sans Text" w:hAnsi="Calibri" w:cs="Calibri"/>
          <w:color w:val="575B5F"/>
          <w:sz w:val="24"/>
          <w:szCs w:val="24"/>
          <w:vertAlign w:val="superscript"/>
        </w:rPr>
        <w:t>1</w:t>
      </w:r>
      <w:r w:rsidRPr="00000523">
        <w:rPr>
          <w:rFonts w:ascii="Calibri" w:eastAsia="Google Sans Text" w:hAnsi="Calibri" w:cs="Calibri"/>
          <w:color w:val="1B1C1D"/>
        </w:rPr>
        <w:t xml:space="preserve"> Этот шаг обусловлен острой необходимостью обеспечения растущего внутреннего спроса на электроэнергию, который, по прогнозам правительства, должен увеличиться в четыре раза к 2050 году.</w:t>
      </w:r>
      <w:r w:rsidRPr="00000523">
        <w:rPr>
          <w:rFonts w:ascii="Calibri" w:eastAsia="Google Sans Text" w:hAnsi="Calibri" w:cs="Calibri"/>
          <w:color w:val="575B5F"/>
          <w:sz w:val="24"/>
          <w:szCs w:val="24"/>
          <w:vertAlign w:val="superscript"/>
        </w:rPr>
        <w:t>1</w:t>
      </w:r>
    </w:p>
    <w:p w14:paraId="55C201A5"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В настоящее время более 85% энергетических поставок Сербии зависят от угля, нефти и газа.</w:t>
      </w:r>
      <w:r w:rsidRPr="00000523">
        <w:rPr>
          <w:rFonts w:ascii="Calibri" w:eastAsia="Google Sans Text" w:hAnsi="Calibri" w:cs="Calibri"/>
          <w:color w:val="575B5F"/>
          <w:sz w:val="24"/>
          <w:szCs w:val="24"/>
          <w:vertAlign w:val="superscript"/>
        </w:rPr>
        <w:t>3</w:t>
      </w:r>
      <w:r w:rsidRPr="00000523">
        <w:rPr>
          <w:rFonts w:ascii="Calibri" w:eastAsia="Google Sans Text" w:hAnsi="Calibri" w:cs="Calibri"/>
          <w:color w:val="1B1C1D"/>
        </w:rPr>
        <w:t xml:space="preserve"> Переход к ядерной энергетике рассматривается как экономически целесообразный и доступный способ укрепления энергетической безопасности страны в условиях европейского стремления к отказу от российского ископаемого топлива и санкционного давления.</w:t>
      </w:r>
      <w:r w:rsidRPr="00000523">
        <w:rPr>
          <w:rFonts w:ascii="Calibri" w:eastAsia="Google Sans Text" w:hAnsi="Calibri" w:cs="Calibri"/>
          <w:color w:val="575B5F"/>
          <w:sz w:val="24"/>
          <w:szCs w:val="24"/>
          <w:vertAlign w:val="superscript"/>
        </w:rPr>
        <w:t>1</w:t>
      </w:r>
      <w:r w:rsidRPr="00000523">
        <w:rPr>
          <w:rFonts w:ascii="Calibri" w:eastAsia="Google Sans Text" w:hAnsi="Calibri" w:cs="Calibri"/>
          <w:color w:val="1B1C1D"/>
        </w:rPr>
        <w:t xml:space="preserve"> В июле 2025 года Министерство горнодобывающей промышленности и энергетики начало разработку национальной программы по мирному использованию ядерной энергии, а при Институте Винча была учреждена Комиссия по атомной энергии.</w:t>
      </w:r>
      <w:r w:rsidRPr="00000523">
        <w:rPr>
          <w:rFonts w:ascii="Calibri" w:eastAsia="Google Sans Text" w:hAnsi="Calibri" w:cs="Calibri"/>
          <w:color w:val="575B5F"/>
          <w:sz w:val="24"/>
          <w:szCs w:val="24"/>
          <w:vertAlign w:val="superscript"/>
        </w:rPr>
        <w:t>4</w:t>
      </w:r>
    </w:p>
    <w:p w14:paraId="0EC609F6"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1B1C1D"/>
        </w:rPr>
      </w:pPr>
      <w:r w:rsidRPr="00000523">
        <w:rPr>
          <w:rFonts w:ascii="Calibri" w:eastAsia="Google Sans Text" w:hAnsi="Calibri" w:cs="Calibri"/>
          <w:color w:val="1B1C1D"/>
        </w:rPr>
        <w:t>Несмотря на явную срочность удовлетворения растущего спроса, Сербия сталкивается с фундаментальным противоречием между необходимостью быстрого ввода мощностей и реальной продолжительностью развития ядерной инфраструктуры. Будучи новым участником ядерного рынка, стране требуется пройти все этапы, определенные МАГАТЭ, что, по предварительным оценкам, займет 8–13 лет только до начала строительных работ.</w:t>
      </w:r>
      <w:r w:rsidRPr="00000523">
        <w:rPr>
          <w:rFonts w:ascii="Calibri" w:eastAsia="Google Sans Text" w:hAnsi="Calibri" w:cs="Calibri"/>
          <w:color w:val="575B5F"/>
          <w:sz w:val="24"/>
          <w:szCs w:val="24"/>
          <w:vertAlign w:val="superscript"/>
        </w:rPr>
        <w:t>2</w:t>
      </w:r>
      <w:r w:rsidRPr="00000523">
        <w:rPr>
          <w:rFonts w:ascii="Calibri" w:eastAsia="Google Sans Text" w:hAnsi="Calibri" w:cs="Calibri"/>
          <w:color w:val="1B1C1D"/>
        </w:rPr>
        <w:t xml:space="preserve"> Это означает, что даже при самом оптимистичном сценарии крупномасштабная АЭС не будет введена в эксплуатацию до 2040–2045 годов, что подчеркивает критическую важность выбора технологии и ускорения подготовительных фаз.</w:t>
      </w:r>
    </w:p>
    <w:p w14:paraId="5BA53D2B"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2" w:name="_Toc210582164"/>
      <w:r w:rsidRPr="00000523">
        <w:rPr>
          <w:rFonts w:ascii="Calibri" w:eastAsia="Google Sans" w:hAnsi="Calibri" w:cs="Calibri"/>
          <w:color w:val="1B1C1D"/>
        </w:rPr>
        <w:t>1.2. Текущий ландшафт сотрудничества: Глобальный выбор вендоров</w:t>
      </w:r>
      <w:bookmarkEnd w:id="2"/>
    </w:p>
    <w:p w14:paraId="43E905F6"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1B1C1D"/>
        </w:rPr>
      </w:pPr>
      <w:r w:rsidRPr="00000523">
        <w:rPr>
          <w:rFonts w:ascii="Calibri" w:eastAsia="Google Sans Text" w:hAnsi="Calibri" w:cs="Calibri"/>
          <w:color w:val="1B1C1D"/>
        </w:rPr>
        <w:t>Сербия в настоящее время проводит активную политику балансирования, ведя переговоры с ключевыми мировыми вендорами из России, Южной Кореи и Франции.</w:t>
      </w:r>
    </w:p>
    <w:p w14:paraId="5D968ECC"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С </w:t>
      </w:r>
      <w:r w:rsidRPr="00000523">
        <w:rPr>
          <w:rFonts w:ascii="Calibri" w:eastAsia="Google Sans Text" w:hAnsi="Calibri" w:cs="Calibri"/>
          <w:b/>
          <w:color w:val="1B1C1D"/>
        </w:rPr>
        <w:t>Россией</w:t>
      </w:r>
      <w:r w:rsidRPr="00000523">
        <w:rPr>
          <w:rFonts w:ascii="Calibri" w:eastAsia="Google Sans Text" w:hAnsi="Calibri" w:cs="Calibri"/>
          <w:color w:val="1B1C1D"/>
        </w:rPr>
        <w:t xml:space="preserve"> (государственная корпорация "Росатом") ведутся "серьезные" переговоры о потенциальном строительстве АЭС.</w:t>
      </w:r>
      <w:r w:rsidRPr="00000523">
        <w:rPr>
          <w:rFonts w:ascii="Calibri" w:eastAsia="Google Sans Text" w:hAnsi="Calibri" w:cs="Calibri"/>
          <w:color w:val="575B5F"/>
          <w:sz w:val="24"/>
          <w:szCs w:val="24"/>
          <w:vertAlign w:val="superscript"/>
        </w:rPr>
        <w:t>1</w:t>
      </w:r>
      <w:r w:rsidRPr="00000523">
        <w:rPr>
          <w:rFonts w:ascii="Calibri" w:eastAsia="Google Sans Text" w:hAnsi="Calibri" w:cs="Calibri"/>
          <w:color w:val="1B1C1D"/>
        </w:rPr>
        <w:t xml:space="preserve"> Посол Сербии в Москве Момчило Бабич подчеркнул, что Сербии нужна электроэнергия, и проект будет реализован в любом случае.</w:t>
      </w:r>
      <w:r w:rsidRPr="00000523">
        <w:rPr>
          <w:rFonts w:ascii="Calibri" w:eastAsia="Google Sans Text" w:hAnsi="Calibri" w:cs="Calibri"/>
          <w:color w:val="575B5F"/>
          <w:sz w:val="24"/>
          <w:szCs w:val="24"/>
          <w:vertAlign w:val="superscript"/>
        </w:rPr>
        <w:t>1</w:t>
      </w:r>
      <w:r w:rsidRPr="00000523">
        <w:rPr>
          <w:rFonts w:ascii="Calibri" w:eastAsia="Google Sans Text" w:hAnsi="Calibri" w:cs="Calibri"/>
          <w:color w:val="1B1C1D"/>
        </w:rPr>
        <w:t xml:space="preserve"> "Росатом" обладает значительным конкурентным преимуществом, поскольку предлагает полный пакет услуг, включающий строительство, обслуживание, поставку топлива и обращение с отходами, а также возможность предоставления льготного государственного кредита.</w:t>
      </w:r>
      <w:r w:rsidRPr="00000523">
        <w:rPr>
          <w:rFonts w:ascii="Calibri" w:eastAsia="Google Sans Text" w:hAnsi="Calibri" w:cs="Calibri"/>
          <w:color w:val="575B5F"/>
          <w:sz w:val="24"/>
          <w:szCs w:val="24"/>
          <w:vertAlign w:val="superscript"/>
        </w:rPr>
        <w:t>1</w:t>
      </w:r>
      <w:r w:rsidRPr="00000523">
        <w:rPr>
          <w:rFonts w:ascii="Calibri" w:eastAsia="Google Sans Text" w:hAnsi="Calibri" w:cs="Calibri"/>
          <w:color w:val="1B1C1D"/>
        </w:rPr>
        <w:t xml:space="preserve"> Ожидается, что переговоры могут занять до двух лет.</w:t>
      </w:r>
      <w:r w:rsidRPr="00000523">
        <w:rPr>
          <w:rFonts w:ascii="Calibri" w:eastAsia="Google Sans Text" w:hAnsi="Calibri" w:cs="Calibri"/>
          <w:color w:val="575B5F"/>
          <w:sz w:val="24"/>
          <w:szCs w:val="24"/>
          <w:vertAlign w:val="superscript"/>
        </w:rPr>
        <w:t>3</w:t>
      </w:r>
    </w:p>
    <w:p w14:paraId="73F11F8B"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lastRenderedPageBreak/>
        <w:t xml:space="preserve">С </w:t>
      </w:r>
      <w:r w:rsidRPr="00000523">
        <w:rPr>
          <w:rFonts w:ascii="Calibri" w:eastAsia="Google Sans Text" w:hAnsi="Calibri" w:cs="Calibri"/>
          <w:b/>
          <w:color w:val="1B1C1D"/>
        </w:rPr>
        <w:t>Южной Кореей</w:t>
      </w:r>
      <w:r w:rsidRPr="00000523">
        <w:rPr>
          <w:rFonts w:ascii="Calibri" w:eastAsia="Google Sans Text" w:hAnsi="Calibri" w:cs="Calibri"/>
          <w:color w:val="1B1C1D"/>
        </w:rPr>
        <w:t xml:space="preserve"> (KHNP) правительство Сербии подписало два меморандума о взаимопонимании (MOU) по сотрудничеству в области ядерной энергетики и водорода.</w:t>
      </w:r>
      <w:r w:rsidRPr="00000523">
        <w:rPr>
          <w:rFonts w:ascii="Calibri" w:eastAsia="Google Sans Text" w:hAnsi="Calibri" w:cs="Calibri"/>
          <w:color w:val="575B5F"/>
          <w:sz w:val="24"/>
          <w:szCs w:val="24"/>
          <w:vertAlign w:val="superscript"/>
        </w:rPr>
        <w:t>1</w:t>
      </w:r>
      <w:r w:rsidRPr="00000523">
        <w:rPr>
          <w:rFonts w:ascii="Calibri" w:eastAsia="Google Sans Text" w:hAnsi="Calibri" w:cs="Calibri"/>
          <w:color w:val="1B1C1D"/>
        </w:rPr>
        <w:t xml:space="preserve"> KHNP имеет успешный опыт реализации крупных международных проектов, в частности, строительства четырех блоков APR-1400 в ОАЭ, а также победы в тендере на реконструкцию энергоблока АЭС Чернаводэ в Румынии.</w:t>
      </w:r>
      <w:r w:rsidRPr="00000523">
        <w:rPr>
          <w:rFonts w:ascii="Calibri" w:eastAsia="Google Sans Text" w:hAnsi="Calibri" w:cs="Calibri"/>
          <w:color w:val="575B5F"/>
          <w:sz w:val="24"/>
          <w:szCs w:val="24"/>
          <w:vertAlign w:val="superscript"/>
        </w:rPr>
        <w:t>8</w:t>
      </w:r>
    </w:p>
    <w:p w14:paraId="045405DF"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b/>
          <w:color w:val="1B1C1D"/>
        </w:rPr>
        <w:t>Франция</w:t>
      </w:r>
      <w:r w:rsidRPr="00000523">
        <w:rPr>
          <w:rFonts w:ascii="Calibri" w:eastAsia="Google Sans Text" w:hAnsi="Calibri" w:cs="Calibri"/>
          <w:color w:val="1B1C1D"/>
        </w:rPr>
        <w:t xml:space="preserve"> (EDF) была привлечена для проведения технического исследования потенциала использования ядерной генерации в Сербии.</w:t>
      </w:r>
      <w:r w:rsidRPr="00000523">
        <w:rPr>
          <w:rFonts w:ascii="Calibri" w:eastAsia="Google Sans Text" w:hAnsi="Calibri" w:cs="Calibri"/>
          <w:color w:val="575B5F"/>
          <w:sz w:val="24"/>
          <w:szCs w:val="24"/>
          <w:vertAlign w:val="superscript"/>
        </w:rPr>
        <w:t>1</w:t>
      </w:r>
      <w:r w:rsidRPr="00000523">
        <w:rPr>
          <w:rFonts w:ascii="Calibri" w:eastAsia="Google Sans Text" w:hAnsi="Calibri" w:cs="Calibri"/>
          <w:color w:val="1B1C1D"/>
        </w:rPr>
        <w:t xml:space="preserve"> Это исследование, проведенное совместно с Egis Industries, оценило, что только начальные фазы, включая предпроектные работы, создание правовой и регуляторной базы, потребуют около €30 млн и займут от пяти до семи лет, после чего можно будет приступать к строительству.</w:t>
      </w:r>
      <w:r w:rsidRPr="00000523">
        <w:rPr>
          <w:rFonts w:ascii="Calibri" w:eastAsia="Google Sans Text" w:hAnsi="Calibri" w:cs="Calibri"/>
          <w:color w:val="575B5F"/>
          <w:sz w:val="24"/>
          <w:szCs w:val="24"/>
          <w:vertAlign w:val="superscript"/>
        </w:rPr>
        <w:t>2</w:t>
      </w:r>
    </w:p>
    <w:p w14:paraId="7973BD4E"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3" w:name="_Toc210582165"/>
      <w:r w:rsidRPr="00000523">
        <w:rPr>
          <w:rFonts w:ascii="Calibri" w:eastAsia="Google Sans" w:hAnsi="Calibri" w:cs="Calibri"/>
          <w:color w:val="1B1C1D"/>
        </w:rPr>
        <w:t>1.3. Геополитические риски и финансовые императивы</w:t>
      </w:r>
      <w:bookmarkEnd w:id="3"/>
    </w:p>
    <w:p w14:paraId="7028C34A"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1B1C1D"/>
        </w:rPr>
      </w:pPr>
      <w:r w:rsidRPr="00000523">
        <w:rPr>
          <w:rFonts w:ascii="Calibri" w:eastAsia="Google Sans Text" w:hAnsi="Calibri" w:cs="Calibri"/>
          <w:color w:val="1B1C1D"/>
        </w:rPr>
        <w:t>Сербское руководство использует ядерный проект как инструмент геополитического маневрирования, стараясь сохранить баланс между стремлением к вступлению в ЕС и поддержанием энергетических связей с Востоком.</w:t>
      </w:r>
      <w:r w:rsidRPr="00000523">
        <w:rPr>
          <w:rFonts w:ascii="Calibri" w:eastAsia="Google Sans Text" w:hAnsi="Calibri" w:cs="Calibri"/>
          <w:color w:val="575B5F"/>
          <w:sz w:val="24"/>
          <w:szCs w:val="24"/>
          <w:vertAlign w:val="superscript"/>
        </w:rPr>
        <w:t>9</w:t>
      </w:r>
      <w:r w:rsidRPr="00000523">
        <w:rPr>
          <w:rFonts w:ascii="Calibri" w:eastAsia="Google Sans Text" w:hAnsi="Calibri" w:cs="Calibri"/>
          <w:color w:val="1B1C1D"/>
        </w:rPr>
        <w:t xml:space="preserve"> Привлечение EDF к техническому исследованию демонстрирует приверженность европейским стандартам и регуляторной гармонизации, что необходимо для процесса присоединения к ЕС.</w:t>
      </w:r>
      <w:r w:rsidRPr="00000523">
        <w:rPr>
          <w:rFonts w:ascii="Calibri" w:eastAsia="Google Sans Text" w:hAnsi="Calibri" w:cs="Calibri"/>
          <w:color w:val="575B5F"/>
          <w:sz w:val="24"/>
          <w:szCs w:val="24"/>
          <w:vertAlign w:val="superscript"/>
        </w:rPr>
        <w:t>1</w:t>
      </w:r>
      <w:r w:rsidRPr="00000523">
        <w:rPr>
          <w:rFonts w:ascii="Calibri" w:eastAsia="Google Sans Text" w:hAnsi="Calibri" w:cs="Calibri"/>
          <w:color w:val="1B1C1D"/>
        </w:rPr>
        <w:t xml:space="preserve"> Однако параллельные переговоры с "Росатомом" и KHNP обеспечивают конкуренцию, что позволяет Белграду выбирать наиболее выгодные условия финансирования.</w:t>
      </w:r>
    </w:p>
    <w:p w14:paraId="66D8DD39"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Сотрудничество с "Росатомом" несет значительный политический риск, поскольку Сербия стремится к членству в ЕС, который требует согласования внешней политики и применения санкций против России.</w:t>
      </w:r>
      <w:r w:rsidRPr="00000523">
        <w:rPr>
          <w:rFonts w:ascii="Calibri" w:eastAsia="Google Sans Text" w:hAnsi="Calibri" w:cs="Calibri"/>
          <w:color w:val="575B5F"/>
          <w:sz w:val="24"/>
          <w:szCs w:val="24"/>
          <w:vertAlign w:val="superscript"/>
        </w:rPr>
        <w:t>1</w:t>
      </w:r>
      <w:r w:rsidRPr="00000523">
        <w:rPr>
          <w:rFonts w:ascii="Calibri" w:eastAsia="Google Sans Text" w:hAnsi="Calibri" w:cs="Calibri"/>
          <w:color w:val="1B1C1D"/>
        </w:rPr>
        <w:t xml:space="preserve"> Выбор российского проекта может осложнить путь Сербии в ЕС, хотя прецеденты (как, например, АЭС Аккую в Турции) показывают, что стратегические энергетические проекты могут сохраняться даже в условиях напряженных геополитических отношений.</w:t>
      </w:r>
      <w:r w:rsidRPr="00000523">
        <w:rPr>
          <w:rFonts w:ascii="Calibri" w:eastAsia="Google Sans Text" w:hAnsi="Calibri" w:cs="Calibri"/>
          <w:color w:val="575B5F"/>
          <w:sz w:val="24"/>
          <w:szCs w:val="24"/>
          <w:vertAlign w:val="superscript"/>
        </w:rPr>
        <w:t>10</w:t>
      </w:r>
    </w:p>
    <w:p w14:paraId="28ABD0C4"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Экономическое предложение восточных вендоров (Россия, Китай) имеет решающее значение. Оно часто включает государственные льготные кредиты.</w:t>
      </w:r>
      <w:r w:rsidRPr="00000523">
        <w:rPr>
          <w:rFonts w:ascii="Calibri" w:eastAsia="Google Sans Text" w:hAnsi="Calibri" w:cs="Calibri"/>
          <w:color w:val="575B5F"/>
          <w:sz w:val="24"/>
          <w:szCs w:val="24"/>
          <w:vertAlign w:val="superscript"/>
        </w:rPr>
        <w:t>1</w:t>
      </w:r>
      <w:r w:rsidRPr="00000523">
        <w:rPr>
          <w:rFonts w:ascii="Calibri" w:eastAsia="Google Sans Text" w:hAnsi="Calibri" w:cs="Calibri"/>
          <w:color w:val="1B1C1D"/>
        </w:rPr>
        <w:t xml:space="preserve"> В ядерных проектах капитальные затраты и стоимость финансирования составляют от 80% до 86% от общей усредненной стоимости электроэнергии (LCOE).</w:t>
      </w:r>
      <w:r w:rsidRPr="00000523">
        <w:rPr>
          <w:rFonts w:ascii="Calibri" w:eastAsia="Google Sans Text" w:hAnsi="Calibri" w:cs="Calibri"/>
          <w:color w:val="575B5F"/>
          <w:sz w:val="24"/>
          <w:szCs w:val="24"/>
          <w:vertAlign w:val="superscript"/>
        </w:rPr>
        <w:t>11</w:t>
      </w:r>
      <w:r w:rsidRPr="00000523">
        <w:rPr>
          <w:rFonts w:ascii="Calibri" w:eastAsia="Google Sans Text" w:hAnsi="Calibri" w:cs="Calibri"/>
          <w:color w:val="1B1C1D"/>
        </w:rPr>
        <w:t xml:space="preserve"> Привлечение льготных кредитов от государств-экспортеров, таких как Россия, эффективно нивелирует риск высокой стоимости капитала, который является основной проблемой для западных проектов. Для сравнения, увеличение процентной ставки с 4.2% до 10% может повысить LCOE в 1.8–2.5 раза.</w:t>
      </w:r>
      <w:r w:rsidRPr="00000523">
        <w:rPr>
          <w:rFonts w:ascii="Calibri" w:eastAsia="Google Sans Text" w:hAnsi="Calibri" w:cs="Calibri"/>
          <w:color w:val="575B5F"/>
          <w:sz w:val="24"/>
          <w:szCs w:val="24"/>
          <w:vertAlign w:val="superscript"/>
        </w:rPr>
        <w:t>11</w:t>
      </w:r>
      <w:r w:rsidRPr="00000523">
        <w:rPr>
          <w:rFonts w:ascii="Calibri" w:eastAsia="Google Sans Text" w:hAnsi="Calibri" w:cs="Calibri"/>
          <w:color w:val="1B1C1D"/>
        </w:rPr>
        <w:t xml:space="preserve"> Предложение льготного финансирования от "Росатома" представляет собой значительное экономическое преимущество, которое можно рассматривать как "геополитическую скидку", недоступную для западных конкурентов, чьи проекты требуют дорогостоящих частных инвестиций, гарантированных экспортно-кредитными агентствами.</w:t>
      </w:r>
      <w:r w:rsidRPr="00000523">
        <w:rPr>
          <w:rFonts w:ascii="Calibri" w:eastAsia="Google Sans Text" w:hAnsi="Calibri" w:cs="Calibri"/>
          <w:color w:val="575B5F"/>
          <w:sz w:val="24"/>
          <w:szCs w:val="24"/>
          <w:vertAlign w:val="superscript"/>
        </w:rPr>
        <w:t>13</w:t>
      </w:r>
    </w:p>
    <w:p w14:paraId="57131DE5" w14:textId="77777777" w:rsidR="008E7260" w:rsidRDefault="008E7260">
      <w:pPr>
        <w:rPr>
          <w:rFonts w:ascii="Calibri" w:eastAsia="Google Sans" w:hAnsi="Calibri" w:cs="Calibri"/>
          <w:b/>
          <w:color w:val="1B1C1D"/>
          <w:sz w:val="36"/>
          <w:szCs w:val="36"/>
        </w:rPr>
      </w:pPr>
      <w:bookmarkStart w:id="4" w:name="_Toc210582166"/>
      <w:r>
        <w:rPr>
          <w:rFonts w:ascii="Calibri" w:eastAsia="Google Sans" w:hAnsi="Calibri" w:cs="Calibri"/>
          <w:color w:val="1B1C1D"/>
        </w:rPr>
        <w:br w:type="page"/>
      </w:r>
    </w:p>
    <w:p w14:paraId="307A9469" w14:textId="6CE98EAB" w:rsidR="00A7701B" w:rsidRPr="00000523" w:rsidRDefault="00000000" w:rsidP="00000523">
      <w:pPr>
        <w:pStyle w:val="2"/>
        <w:spacing w:before="0" w:after="120" w:line="275" w:lineRule="auto"/>
        <w:jc w:val="both"/>
        <w:rPr>
          <w:rFonts w:ascii="Calibri" w:eastAsia="Google Sans" w:hAnsi="Calibri" w:cs="Calibri"/>
          <w:color w:val="1B1C1D"/>
        </w:rPr>
      </w:pPr>
      <w:r w:rsidRPr="00000523">
        <w:rPr>
          <w:rFonts w:ascii="Calibri" w:eastAsia="Google Sans" w:hAnsi="Calibri" w:cs="Calibri"/>
          <w:color w:val="1B1C1D"/>
        </w:rPr>
        <w:lastRenderedPageBreak/>
        <w:t>РАЗДЕЛ II: МЕТОДОЛОГИЧЕСКАЯ ОСНОВА МАГАТЭ</w:t>
      </w:r>
      <w:bookmarkEnd w:id="4"/>
    </w:p>
    <w:p w14:paraId="04A545A5"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5" w:name="_Toc210582167"/>
      <w:r w:rsidRPr="00000523">
        <w:rPr>
          <w:rFonts w:ascii="Calibri" w:eastAsia="Google Sans" w:hAnsi="Calibri" w:cs="Calibri"/>
          <w:color w:val="1B1C1D"/>
        </w:rPr>
        <w:t>2.1. Концепция "Вех" МАГАТЭ NG-G-3.1</w:t>
      </w:r>
      <w:bookmarkEnd w:id="5"/>
    </w:p>
    <w:p w14:paraId="2B5B17C0"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Для стран, планирующих внедрение ядерной энергетики, МАГАТЭ разработало подход, основанный на "Вехах" (Milestones in the Development of a National Infrastructure for Nuclear Power, NG-G-3.1).</w:t>
      </w:r>
      <w:r w:rsidRPr="00000523">
        <w:rPr>
          <w:rFonts w:ascii="Calibri" w:eastAsia="Google Sans Text" w:hAnsi="Calibri" w:cs="Calibri"/>
          <w:color w:val="575B5F"/>
          <w:sz w:val="24"/>
          <w:szCs w:val="24"/>
          <w:vertAlign w:val="superscript"/>
        </w:rPr>
        <w:t>15</w:t>
      </w:r>
      <w:r w:rsidRPr="00000523">
        <w:rPr>
          <w:rFonts w:ascii="Calibri" w:eastAsia="Google Sans Text" w:hAnsi="Calibri" w:cs="Calibri"/>
          <w:color w:val="1B1C1D"/>
        </w:rPr>
        <w:t xml:space="preserve"> Этот подход разделяет развитие национальной инфраструктуры на три последовательные фазы, каждая из которых завершается ключевой "Вехой". Руководство определяет 19 ключевых вопросов, которые необходимо решить, от разработки национальной позиции до планирования закупок.</w:t>
      </w:r>
      <w:r w:rsidRPr="00000523">
        <w:rPr>
          <w:rFonts w:ascii="Calibri" w:eastAsia="Google Sans Text" w:hAnsi="Calibri" w:cs="Calibri"/>
          <w:color w:val="575B5F"/>
          <w:sz w:val="24"/>
          <w:szCs w:val="24"/>
          <w:vertAlign w:val="superscript"/>
        </w:rPr>
        <w:t>15</w:t>
      </w:r>
    </w:p>
    <w:p w14:paraId="60AAEE73"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Продолжительность каждой фазы не имеет фиксированного расписания и зависит исключительно от степени приверженности и ресурсов, выделяемых страной-участником.</w:t>
      </w:r>
      <w:r w:rsidRPr="00000523">
        <w:rPr>
          <w:rFonts w:ascii="Calibri" w:eastAsia="Google Sans Text" w:hAnsi="Calibri" w:cs="Calibri"/>
          <w:color w:val="575B5F"/>
          <w:sz w:val="24"/>
          <w:szCs w:val="24"/>
          <w:vertAlign w:val="superscript"/>
        </w:rPr>
        <w:t>16</w:t>
      </w:r>
      <w:r w:rsidRPr="00000523">
        <w:rPr>
          <w:rFonts w:ascii="Calibri" w:eastAsia="Google Sans Text" w:hAnsi="Calibri" w:cs="Calibri"/>
          <w:color w:val="1B1C1D"/>
        </w:rPr>
        <w:t xml:space="preserve"> Исторически, для страны, начинающей ядерную программу с нуля, полный процесс развития инфраструктуры до готовности к началу строительства (от Фазы 1 до Вехи 3) занимает 10–15 лет.</w:t>
      </w:r>
      <w:r w:rsidRPr="00000523">
        <w:rPr>
          <w:rFonts w:ascii="Calibri" w:eastAsia="Google Sans Text" w:hAnsi="Calibri" w:cs="Calibri"/>
          <w:color w:val="575B5F"/>
          <w:sz w:val="24"/>
          <w:szCs w:val="24"/>
          <w:vertAlign w:val="superscript"/>
        </w:rPr>
        <w:t>5</w:t>
      </w:r>
      <w:r w:rsidRPr="00000523">
        <w:rPr>
          <w:rFonts w:ascii="Calibri" w:eastAsia="Google Sans Text" w:hAnsi="Calibri" w:cs="Calibri"/>
          <w:color w:val="1B1C1D"/>
        </w:rPr>
        <w:t xml:space="preserve"> Недавние обновления руководства МАГАТЭ 2024 года также включают специальный раздел, касающийся особенностей развертывания малых модульных реакторов (ММР), что указывает на растущее признание этой технологии.</w:t>
      </w:r>
      <w:r w:rsidRPr="00000523">
        <w:rPr>
          <w:rFonts w:ascii="Calibri" w:eastAsia="Google Sans Text" w:hAnsi="Calibri" w:cs="Calibri"/>
          <w:color w:val="575B5F"/>
          <w:sz w:val="24"/>
          <w:szCs w:val="24"/>
          <w:vertAlign w:val="superscript"/>
        </w:rPr>
        <w:t>17</w:t>
      </w:r>
    </w:p>
    <w:p w14:paraId="182EC626"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6" w:name="_Toc210582168"/>
      <w:r w:rsidRPr="00000523">
        <w:rPr>
          <w:rFonts w:ascii="Calibri" w:eastAsia="Google Sans" w:hAnsi="Calibri" w:cs="Calibri"/>
          <w:color w:val="1B1C1D"/>
        </w:rPr>
        <w:t>2.2. Фазы развития национальной инфраструктуры и их продолжительность</w:t>
      </w:r>
      <w:bookmarkEnd w:id="6"/>
    </w:p>
    <w:p w14:paraId="6B555B32" w14:textId="77777777" w:rsidR="00A7701B" w:rsidRPr="00000523" w:rsidRDefault="00000000" w:rsidP="00000523">
      <w:pPr>
        <w:pBdr>
          <w:top w:val="nil"/>
          <w:left w:val="nil"/>
          <w:bottom w:val="nil"/>
          <w:right w:val="nil"/>
          <w:between w:val="nil"/>
        </w:pBdr>
        <w:spacing w:after="120" w:line="275" w:lineRule="auto"/>
        <w:jc w:val="both"/>
        <w:rPr>
          <w:rFonts w:ascii="Calibri" w:eastAsia="Google Sans Text" w:hAnsi="Calibri" w:cs="Calibri"/>
          <w:color w:val="1B1C1D"/>
        </w:rPr>
      </w:pPr>
      <w:r w:rsidRPr="00000523">
        <w:rPr>
          <w:rFonts w:ascii="Calibri" w:eastAsia="Google Sans Text" w:hAnsi="Calibri" w:cs="Calibri"/>
          <w:color w:val="1B1C1D"/>
        </w:rPr>
        <w:t>В соответствии с NG-G-3.1, процесс для Сербии будет включать следующие этапы:</w:t>
      </w:r>
    </w:p>
    <w:p w14:paraId="44987FF4" w14:textId="77777777" w:rsidR="00A7701B" w:rsidRPr="00000523" w:rsidRDefault="00000000" w:rsidP="00000523">
      <w:pPr>
        <w:numPr>
          <w:ilvl w:val="0"/>
          <w:numId w:val="1"/>
        </w:numPr>
        <w:pBdr>
          <w:top w:val="nil"/>
          <w:left w:val="nil"/>
          <w:bottom w:val="nil"/>
          <w:right w:val="nil"/>
          <w:between w:val="nil"/>
        </w:pBdr>
        <w:spacing w:line="275" w:lineRule="auto"/>
        <w:jc w:val="both"/>
        <w:rPr>
          <w:rFonts w:ascii="Calibri" w:hAnsi="Calibri" w:cs="Calibri"/>
        </w:rPr>
      </w:pPr>
      <w:r w:rsidRPr="00000523">
        <w:rPr>
          <w:rFonts w:ascii="Calibri" w:eastAsia="Google Sans Text" w:hAnsi="Calibri" w:cs="Calibri"/>
          <w:b/>
          <w:color w:val="1B1C1D"/>
        </w:rPr>
        <w:t>ФАЗА 1: Рассмотрение (до Вехи 1):</w:t>
      </w:r>
      <w:r w:rsidRPr="00000523">
        <w:rPr>
          <w:rFonts w:ascii="Calibri" w:eastAsia="Google Sans Text" w:hAnsi="Calibri" w:cs="Calibri"/>
          <w:color w:val="1B1C1D"/>
        </w:rPr>
        <w:t xml:space="preserve"> Эта фаза включает разработку национальной позиции, принятие политического решения (которое фактически произошло в 2024 году), а также проведение предварительной оценки потребностей и возможностей. Участие EDF в техническом исследовании </w:t>
      </w:r>
      <w:r w:rsidRPr="00000523">
        <w:rPr>
          <w:rFonts w:ascii="Calibri" w:eastAsia="Google Sans Text" w:hAnsi="Calibri" w:cs="Calibri"/>
          <w:color w:val="575B5F"/>
          <w:sz w:val="24"/>
          <w:szCs w:val="24"/>
          <w:vertAlign w:val="superscript"/>
        </w:rPr>
        <w:t>2</w:t>
      </w:r>
      <w:r w:rsidRPr="00000523">
        <w:rPr>
          <w:rFonts w:ascii="Calibri" w:eastAsia="Google Sans Text" w:hAnsi="Calibri" w:cs="Calibri"/>
          <w:color w:val="1B1C1D"/>
        </w:rPr>
        <w:t xml:space="preserve"> соответствует этой фазе. Ожидаемая продолжительность: 3–5 лет.</w:t>
      </w:r>
    </w:p>
    <w:p w14:paraId="297197F9" w14:textId="77777777" w:rsidR="00A7701B" w:rsidRPr="00000523" w:rsidRDefault="00000000" w:rsidP="00000523">
      <w:pPr>
        <w:numPr>
          <w:ilvl w:val="0"/>
          <w:numId w:val="1"/>
        </w:numPr>
        <w:pBdr>
          <w:top w:val="nil"/>
          <w:left w:val="nil"/>
          <w:bottom w:val="nil"/>
          <w:right w:val="nil"/>
          <w:between w:val="nil"/>
        </w:pBdr>
        <w:spacing w:line="275" w:lineRule="auto"/>
        <w:jc w:val="both"/>
        <w:rPr>
          <w:rFonts w:ascii="Calibri" w:hAnsi="Calibri" w:cs="Calibri"/>
        </w:rPr>
      </w:pPr>
      <w:r w:rsidRPr="00000523">
        <w:rPr>
          <w:rFonts w:ascii="Calibri" w:eastAsia="Google Sans Text" w:hAnsi="Calibri" w:cs="Calibri"/>
          <w:b/>
          <w:color w:val="1B1C1D"/>
        </w:rPr>
        <w:t>ФАЗА 2: Подготовка (до Вехи 2):</w:t>
      </w:r>
      <w:r w:rsidRPr="00000523">
        <w:rPr>
          <w:rFonts w:ascii="Calibri" w:eastAsia="Google Sans Text" w:hAnsi="Calibri" w:cs="Calibri"/>
          <w:color w:val="1B1C1D"/>
        </w:rPr>
        <w:t xml:space="preserve"> Наиболее критичный и длительный этап. Он включает создание независимого регуляторного органа, разработку всеобъемлющего законодательства (включая вопросы ответственности и ядерной безопасности), выбор и оценку площадки, а также подготовку технической основы для проведения тендера. Предварительная оценка, сделанная в рамках французского исследования, указывала на необходимость 5–7 лет только для начальной подготовки правовой базы и пре-ТЭО.</w:t>
      </w:r>
      <w:r w:rsidRPr="00000523">
        <w:rPr>
          <w:rFonts w:ascii="Calibri" w:eastAsia="Google Sans Text" w:hAnsi="Calibri" w:cs="Calibri"/>
          <w:color w:val="575B5F"/>
          <w:sz w:val="24"/>
          <w:szCs w:val="24"/>
          <w:vertAlign w:val="superscript"/>
        </w:rPr>
        <w:t>2</w:t>
      </w:r>
      <w:r w:rsidRPr="00000523">
        <w:rPr>
          <w:rFonts w:ascii="Calibri" w:eastAsia="Google Sans Text" w:hAnsi="Calibri" w:cs="Calibri"/>
          <w:color w:val="1B1C1D"/>
        </w:rPr>
        <w:t xml:space="preserve"> Ожидаемая продолжительность: 5–8 лет.</w:t>
      </w:r>
    </w:p>
    <w:p w14:paraId="05DFE741" w14:textId="77777777" w:rsidR="00A7701B" w:rsidRPr="00000523" w:rsidRDefault="00000000" w:rsidP="00000523">
      <w:pPr>
        <w:numPr>
          <w:ilvl w:val="0"/>
          <w:numId w:val="1"/>
        </w:numPr>
        <w:pBdr>
          <w:top w:val="nil"/>
          <w:left w:val="nil"/>
          <w:bottom w:val="nil"/>
          <w:right w:val="nil"/>
          <w:between w:val="nil"/>
        </w:pBdr>
        <w:spacing w:after="120" w:line="275" w:lineRule="auto"/>
        <w:jc w:val="both"/>
        <w:rPr>
          <w:rFonts w:ascii="Calibri" w:hAnsi="Calibri" w:cs="Calibri"/>
        </w:rPr>
      </w:pPr>
      <w:r w:rsidRPr="00000523">
        <w:rPr>
          <w:rFonts w:ascii="Calibri" w:eastAsia="Google Sans Text" w:hAnsi="Calibri" w:cs="Calibri"/>
          <w:b/>
          <w:color w:val="1B1C1D"/>
        </w:rPr>
        <w:t>ФАЗА 3: Строительство (до Вехи 3):</w:t>
      </w:r>
      <w:r w:rsidRPr="00000523">
        <w:rPr>
          <w:rFonts w:ascii="Calibri" w:eastAsia="Google Sans Text" w:hAnsi="Calibri" w:cs="Calibri"/>
          <w:color w:val="1B1C1D"/>
        </w:rPr>
        <w:t xml:space="preserve"> Эта фаза включает окончательное финансовое закрытие, подписание основного контракта с вендором и получение лицензии на строительство. Кульминацией является заливка "Первого Бетона" (Веха 3). Ожидаемая продолжительность: 2–3 года.</w:t>
      </w:r>
    </w:p>
    <w:p w14:paraId="79B75A23" w14:textId="77777777" w:rsidR="00A7701B" w:rsidRPr="00000523" w:rsidRDefault="00000000" w:rsidP="00000523">
      <w:pPr>
        <w:pBdr>
          <w:top w:val="nil"/>
          <w:left w:val="nil"/>
          <w:bottom w:val="nil"/>
          <w:right w:val="nil"/>
          <w:between w:val="nil"/>
        </w:pBdr>
        <w:spacing w:before="240" w:after="240" w:line="275" w:lineRule="auto"/>
        <w:jc w:val="both"/>
        <w:rPr>
          <w:rFonts w:ascii="Calibri" w:eastAsia="Google Sans Text" w:hAnsi="Calibri" w:cs="Calibri"/>
          <w:color w:val="1B1C1D"/>
        </w:rPr>
      </w:pPr>
      <w:r w:rsidRPr="00000523">
        <w:rPr>
          <w:rFonts w:ascii="Calibri" w:eastAsia="Google Sans Text" w:hAnsi="Calibri" w:cs="Calibri"/>
          <w:color w:val="1B1C1D"/>
        </w:rPr>
        <w:t xml:space="preserve">Сербия, как страна-кандидат в ЕС, должна будет привести свое законодательство и регуляторную практику в соответствие с требованиями EURATOM, что неизбежно добавит сложности и, вероятно, удлинит сроки Фазы 2. Участие западных экспертов, например, из EDF, в разработке технической и </w:t>
      </w:r>
      <w:r w:rsidRPr="00000523">
        <w:rPr>
          <w:rFonts w:ascii="Calibri" w:eastAsia="Google Sans Text" w:hAnsi="Calibri" w:cs="Calibri"/>
          <w:color w:val="1B1C1D"/>
        </w:rPr>
        <w:lastRenderedPageBreak/>
        <w:t>правовой базы обеспечивает техническое соответствие, но также означает необходимость прохождения строгих, часто длительных, процедур лицензирования. Таким образом, политический выбор в Фазах 1 и 2 напрямую влияет на скорость достижения Вехи 2 и общий график проекта.</w:t>
      </w:r>
    </w:p>
    <w:p w14:paraId="3ACB14C7"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7" w:name="_Toc210582169"/>
      <w:r w:rsidRPr="00000523">
        <w:rPr>
          <w:rFonts w:ascii="Calibri" w:eastAsia="Google Sans" w:hAnsi="Calibri" w:cs="Calibri"/>
          <w:color w:val="1B1C1D"/>
        </w:rPr>
        <w:t>2.3. Анализ продолжительности строительства по TECHNICAL REPORTS SERIES No. 279</w:t>
      </w:r>
      <w:bookmarkEnd w:id="7"/>
    </w:p>
    <w:p w14:paraId="4F1DDEE1"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1B1C1D"/>
        </w:rPr>
      </w:pPr>
      <w:r w:rsidRPr="00000523">
        <w:rPr>
          <w:rFonts w:ascii="Calibri" w:eastAsia="Google Sans Text" w:hAnsi="Calibri" w:cs="Calibri"/>
          <w:color w:val="1B1C1D"/>
        </w:rPr>
        <w:t>Статистические данные, включая те, что представлены в TECHNICAL REPORTS SERIES No. 279, указывают на высокую вариативность сроков строительства атомных реакторов. В целом, 95% проектов укладываются в диапазон от 50 до 250 месяцев (от 4.2 до 20.8 лет).</w:t>
      </w:r>
      <w:r w:rsidRPr="00000523">
        <w:rPr>
          <w:rFonts w:ascii="Calibri" w:eastAsia="Google Sans Text" w:hAnsi="Calibri" w:cs="Calibri"/>
          <w:color w:val="575B5F"/>
          <w:sz w:val="24"/>
          <w:szCs w:val="24"/>
          <w:vertAlign w:val="superscript"/>
        </w:rPr>
        <w:t>19</w:t>
      </w:r>
      <w:r w:rsidRPr="00000523">
        <w:rPr>
          <w:rFonts w:ascii="Calibri" w:eastAsia="Google Sans Text" w:hAnsi="Calibri" w:cs="Calibri"/>
          <w:color w:val="1B1C1D"/>
        </w:rPr>
        <w:t xml:space="preserve"> Эта широкая дисперсия подчеркивает проектные риски, особенно для новых участников.</w:t>
      </w:r>
    </w:p>
    <w:p w14:paraId="47FC4EBB"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1B1C1D"/>
        </w:rPr>
      </w:pPr>
      <w:r w:rsidRPr="00000523">
        <w:rPr>
          <w:rFonts w:ascii="Calibri" w:eastAsia="Google Sans Text" w:hAnsi="Calibri" w:cs="Calibri"/>
          <w:color w:val="1B1C1D"/>
        </w:rPr>
        <w:t>Анализ показывает, что для реакторов мощностью до 800 МВт электрическая мощность не оказывает значительного влияния на срок строительства. Однако для более мощных реакторов срок строительства увеличивается примерно на 8 месяцев на каждые 100 МВт мощности.</w:t>
      </w:r>
      <w:r w:rsidRPr="00000523">
        <w:rPr>
          <w:rFonts w:ascii="Calibri" w:eastAsia="Google Sans Text" w:hAnsi="Calibri" w:cs="Calibri"/>
          <w:color w:val="575B5F"/>
          <w:sz w:val="24"/>
          <w:szCs w:val="24"/>
          <w:vertAlign w:val="superscript"/>
        </w:rPr>
        <w:t>19</w:t>
      </w:r>
      <w:r w:rsidRPr="00000523">
        <w:rPr>
          <w:rFonts w:ascii="Calibri" w:eastAsia="Google Sans Text" w:hAnsi="Calibri" w:cs="Calibri"/>
          <w:color w:val="1B1C1D"/>
        </w:rPr>
        <w:t xml:space="preserve"> Это означает, что реакторы поколения Gen III+ мощностью более 1000 МВт, которые предлагают основные вендоры, имеют минимальный срок строительства, значительно превышающий 60 месяцев.</w:t>
      </w:r>
    </w:p>
    <w:p w14:paraId="3565327A" w14:textId="77777777" w:rsidR="00A7701B" w:rsidRPr="00000523" w:rsidRDefault="00000000" w:rsidP="00000523">
      <w:pPr>
        <w:pBdr>
          <w:top w:val="nil"/>
          <w:left w:val="nil"/>
          <w:bottom w:val="nil"/>
          <w:right w:val="nil"/>
          <w:between w:val="nil"/>
        </w:pBdr>
        <w:spacing w:after="120" w:line="275" w:lineRule="auto"/>
        <w:jc w:val="both"/>
        <w:rPr>
          <w:rFonts w:ascii="Calibri" w:eastAsia="Google Sans Text" w:hAnsi="Calibri" w:cs="Calibri"/>
          <w:color w:val="1B1C1D"/>
        </w:rPr>
      </w:pPr>
      <w:r w:rsidRPr="00000523">
        <w:rPr>
          <w:rFonts w:ascii="Calibri" w:eastAsia="Google Sans Text" w:hAnsi="Calibri" w:cs="Calibri"/>
          <w:color w:val="1B1C1D"/>
        </w:rPr>
        <w:t>Исторический опыт новейших крупномасштабных проектов Gen III+ демонстрирует следующую картину:</w:t>
      </w:r>
    </w:p>
    <w:p w14:paraId="064E444C" w14:textId="77777777" w:rsidR="00A7701B" w:rsidRPr="00000523" w:rsidRDefault="00000000" w:rsidP="00000523">
      <w:pPr>
        <w:numPr>
          <w:ilvl w:val="0"/>
          <w:numId w:val="2"/>
        </w:numPr>
        <w:pBdr>
          <w:top w:val="nil"/>
          <w:left w:val="nil"/>
          <w:bottom w:val="nil"/>
          <w:right w:val="nil"/>
          <w:between w:val="nil"/>
        </w:pBdr>
        <w:spacing w:line="275" w:lineRule="auto"/>
        <w:jc w:val="both"/>
        <w:rPr>
          <w:rFonts w:ascii="Calibri" w:hAnsi="Calibri" w:cs="Calibri"/>
        </w:rPr>
      </w:pPr>
      <w:r w:rsidRPr="00000523">
        <w:rPr>
          <w:rFonts w:ascii="Calibri" w:eastAsia="Google Sans Text" w:hAnsi="Calibri" w:cs="Calibri"/>
          <w:color w:val="1B1C1D"/>
        </w:rPr>
        <w:t>KHNP APR-1400 (Барака, ОАЭ): Проект показал высокую надежность сроков, достигнув коммерческой эксплуатации в течение 7–8 лет (84–97 месяцев) от первого бетона.</w:t>
      </w:r>
      <w:r w:rsidRPr="00000523">
        <w:rPr>
          <w:rFonts w:ascii="Calibri" w:eastAsia="Google Sans Text" w:hAnsi="Calibri" w:cs="Calibri"/>
          <w:color w:val="575B5F"/>
          <w:sz w:val="24"/>
          <w:szCs w:val="24"/>
          <w:vertAlign w:val="superscript"/>
        </w:rPr>
        <w:t>20</w:t>
      </w:r>
    </w:p>
    <w:p w14:paraId="039EC026" w14:textId="77777777" w:rsidR="00A7701B" w:rsidRPr="00000523" w:rsidRDefault="00000000" w:rsidP="00000523">
      <w:pPr>
        <w:numPr>
          <w:ilvl w:val="0"/>
          <w:numId w:val="2"/>
        </w:numPr>
        <w:pBdr>
          <w:top w:val="nil"/>
          <w:left w:val="nil"/>
          <w:bottom w:val="nil"/>
          <w:right w:val="nil"/>
          <w:between w:val="nil"/>
        </w:pBdr>
        <w:spacing w:line="275" w:lineRule="auto"/>
        <w:jc w:val="both"/>
        <w:rPr>
          <w:rFonts w:ascii="Calibri" w:hAnsi="Calibri" w:cs="Calibri"/>
        </w:rPr>
      </w:pPr>
      <w:r w:rsidRPr="00000523">
        <w:rPr>
          <w:rFonts w:ascii="Calibri" w:eastAsia="Google Sans Text" w:hAnsi="Calibri" w:cs="Calibri"/>
          <w:color w:val="1B1C1D"/>
        </w:rPr>
        <w:t>Rosatom VVER-1200: Целевой срок строительства, заявленный для китайских проектов, составляет 69 месяцев (5.75 лет).</w:t>
      </w:r>
      <w:r w:rsidRPr="00000523">
        <w:rPr>
          <w:rFonts w:ascii="Calibri" w:eastAsia="Google Sans Text" w:hAnsi="Calibri" w:cs="Calibri"/>
          <w:color w:val="575B5F"/>
          <w:sz w:val="24"/>
          <w:szCs w:val="24"/>
          <w:vertAlign w:val="superscript"/>
        </w:rPr>
        <w:t>21</w:t>
      </w:r>
    </w:p>
    <w:p w14:paraId="7C3E2F8B" w14:textId="77777777" w:rsidR="00A7701B" w:rsidRPr="00000523" w:rsidRDefault="00000000" w:rsidP="00000523">
      <w:pPr>
        <w:numPr>
          <w:ilvl w:val="0"/>
          <w:numId w:val="2"/>
        </w:numPr>
        <w:pBdr>
          <w:top w:val="nil"/>
          <w:left w:val="nil"/>
          <w:bottom w:val="nil"/>
          <w:right w:val="nil"/>
          <w:between w:val="nil"/>
        </w:pBdr>
        <w:spacing w:after="120" w:line="275" w:lineRule="auto"/>
        <w:jc w:val="both"/>
        <w:rPr>
          <w:rFonts w:ascii="Calibri" w:hAnsi="Calibri" w:cs="Calibri"/>
        </w:rPr>
      </w:pPr>
      <w:r w:rsidRPr="00000523">
        <w:rPr>
          <w:rFonts w:ascii="Calibri" w:eastAsia="Google Sans Text" w:hAnsi="Calibri" w:cs="Calibri"/>
          <w:color w:val="1B1C1D"/>
        </w:rPr>
        <w:t>Westinghouse AP1000 (Вогтл, США) и EDF EPR (Хинкли Пойнт C): Оба демонстрируют серьезные задержки и перерасходы. Хинкли Пойнт C отложен до 2032 года, а проект Вогтл превысил первоначальную смету более чем в два раза.</w:t>
      </w:r>
      <w:r w:rsidRPr="00000523">
        <w:rPr>
          <w:rFonts w:ascii="Calibri" w:eastAsia="Google Sans Text" w:hAnsi="Calibri" w:cs="Calibri"/>
          <w:color w:val="575B5F"/>
          <w:sz w:val="24"/>
          <w:szCs w:val="24"/>
          <w:vertAlign w:val="superscript"/>
        </w:rPr>
        <w:t>22</w:t>
      </w:r>
    </w:p>
    <w:p w14:paraId="2BDFC706" w14:textId="77777777" w:rsidR="008E7260" w:rsidRDefault="00000000" w:rsidP="00000523">
      <w:pPr>
        <w:pBdr>
          <w:top w:val="nil"/>
          <w:left w:val="nil"/>
          <w:bottom w:val="nil"/>
          <w:right w:val="nil"/>
          <w:between w:val="nil"/>
        </w:pBdr>
        <w:spacing w:before="240" w:after="240" w:line="275" w:lineRule="auto"/>
        <w:jc w:val="both"/>
        <w:rPr>
          <w:rFonts w:ascii="Calibri" w:eastAsia="Google Sans Text" w:hAnsi="Calibri" w:cs="Calibri"/>
          <w:color w:val="1B1C1D"/>
        </w:rPr>
      </w:pPr>
      <w:r w:rsidRPr="00000523">
        <w:rPr>
          <w:rFonts w:ascii="Calibri" w:eastAsia="Google Sans Text" w:hAnsi="Calibri" w:cs="Calibri"/>
          <w:color w:val="1B1C1D"/>
        </w:rPr>
        <w:t>Учитывая, что стоимость финансирования (Interest During Construction, IDC) тесно коррелирует со сроком строительства, выбор вендора с доказанной краткосрочной реализацией (KHNP, Rosatom) или технологии с модульностью (SMR) является единственным способом минимизировать общий финансовый риск проекта для Сербии.</w:t>
      </w:r>
    </w:p>
    <w:p w14:paraId="1ED5D05B" w14:textId="77777777" w:rsidR="008E7260" w:rsidRDefault="008E7260">
      <w:pPr>
        <w:rPr>
          <w:rFonts w:ascii="Calibri" w:eastAsia="Google Sans" w:hAnsi="Calibri" w:cs="Calibri"/>
          <w:b/>
          <w:color w:val="1B1C1D"/>
          <w:sz w:val="36"/>
          <w:szCs w:val="36"/>
        </w:rPr>
      </w:pPr>
      <w:bookmarkStart w:id="8" w:name="_Toc210582170"/>
      <w:r>
        <w:rPr>
          <w:rFonts w:ascii="Calibri" w:eastAsia="Google Sans" w:hAnsi="Calibri" w:cs="Calibri"/>
          <w:color w:val="1B1C1D"/>
        </w:rPr>
        <w:br w:type="page"/>
      </w:r>
    </w:p>
    <w:p w14:paraId="2EB601BB" w14:textId="1808A605" w:rsidR="00A7701B" w:rsidRPr="00000523" w:rsidRDefault="00000000" w:rsidP="00000523">
      <w:pPr>
        <w:pStyle w:val="2"/>
        <w:spacing w:before="0" w:after="120" w:line="275" w:lineRule="auto"/>
        <w:jc w:val="both"/>
        <w:rPr>
          <w:rFonts w:ascii="Calibri" w:eastAsia="Google Sans" w:hAnsi="Calibri" w:cs="Calibri"/>
          <w:color w:val="1B1C1D"/>
        </w:rPr>
      </w:pPr>
      <w:r w:rsidRPr="00000523">
        <w:rPr>
          <w:rFonts w:ascii="Calibri" w:eastAsia="Google Sans" w:hAnsi="Calibri" w:cs="Calibri"/>
          <w:color w:val="1B1C1D"/>
        </w:rPr>
        <w:lastRenderedPageBreak/>
        <w:t>РАЗДЕЛ III: АНАЛИЗ ПРЕДЛОЖЕНИЙ КРУПНОМАСШТАБНЫХ АЭС</w:t>
      </w:r>
      <w:bookmarkEnd w:id="8"/>
    </w:p>
    <w:p w14:paraId="74586528"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9" w:name="_Toc210582171"/>
      <w:r w:rsidRPr="00000523">
        <w:rPr>
          <w:rFonts w:ascii="Calibri" w:eastAsia="Google Sans" w:hAnsi="Calibri" w:cs="Calibri"/>
          <w:color w:val="1B1C1D"/>
        </w:rPr>
        <w:t>3.1. Россия (Rosatom): ВВЭР-1200</w:t>
      </w:r>
      <w:bookmarkEnd w:id="9"/>
    </w:p>
    <w:p w14:paraId="36127B34"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1B1C1D"/>
        </w:rPr>
      </w:pPr>
      <w:r w:rsidRPr="00000523">
        <w:rPr>
          <w:rFonts w:ascii="Calibri" w:eastAsia="Google Sans Text" w:hAnsi="Calibri" w:cs="Calibri"/>
          <w:color w:val="1B1C1D"/>
        </w:rPr>
        <w:t>ВВЭР-1200 — это реактор поколения Gen III+, который уже эксплуатируется в России и экспортируется в такие страны, как Беларусь.</w:t>
      </w:r>
      <w:r w:rsidRPr="00000523">
        <w:rPr>
          <w:rFonts w:ascii="Calibri" w:eastAsia="Google Sans Text" w:hAnsi="Calibri" w:cs="Calibri"/>
          <w:color w:val="575B5F"/>
          <w:sz w:val="24"/>
          <w:szCs w:val="24"/>
          <w:vertAlign w:val="superscript"/>
        </w:rPr>
        <w:t>1</w:t>
      </w:r>
      <w:r w:rsidRPr="00000523">
        <w:rPr>
          <w:rFonts w:ascii="Calibri" w:eastAsia="Google Sans Text" w:hAnsi="Calibri" w:cs="Calibri"/>
          <w:color w:val="1B1C1D"/>
        </w:rPr>
        <w:t xml:space="preserve"> Главное конкурентное преимущество "Росатома" заключается в его вертикальной интеграции, которая включает не только проектирование и строительство, но и управление топливным циклом, техническое обслуживание и обращение с отработавшим топливом.</w:t>
      </w:r>
      <w:r w:rsidRPr="00000523">
        <w:rPr>
          <w:rFonts w:ascii="Calibri" w:eastAsia="Google Sans Text" w:hAnsi="Calibri" w:cs="Calibri"/>
          <w:color w:val="575B5F"/>
          <w:sz w:val="24"/>
          <w:szCs w:val="24"/>
          <w:vertAlign w:val="superscript"/>
        </w:rPr>
        <w:t>1</w:t>
      </w:r>
      <w:r w:rsidRPr="00000523">
        <w:rPr>
          <w:rFonts w:ascii="Calibri" w:eastAsia="Google Sans Text" w:hAnsi="Calibri" w:cs="Calibri"/>
          <w:color w:val="1B1C1D"/>
        </w:rPr>
        <w:t xml:space="preserve"> Это комплексное предложение значительно снижает операционные риски для страны, которая впервые вводит ядерную энергетику.</w:t>
      </w:r>
    </w:p>
    <w:p w14:paraId="7E0D5B12"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1B1C1D"/>
        </w:rPr>
      </w:pPr>
      <w:r w:rsidRPr="00000523">
        <w:rPr>
          <w:rFonts w:ascii="Calibri" w:eastAsia="Google Sans Text" w:hAnsi="Calibri" w:cs="Calibri"/>
          <w:color w:val="1B1C1D"/>
        </w:rPr>
        <w:t>Финансовая привлекательность предложения усиливается возможностью предоставления льготного государственного кредита, который позволяет избежать высоких ставок коммерческого финансирования, существенно снижая Cost of Capital и итоговую LCOE.</w:t>
      </w:r>
      <w:r w:rsidRPr="00000523">
        <w:rPr>
          <w:rFonts w:ascii="Calibri" w:eastAsia="Google Sans Text" w:hAnsi="Calibri" w:cs="Calibri"/>
          <w:color w:val="575B5F"/>
          <w:sz w:val="24"/>
          <w:szCs w:val="24"/>
          <w:vertAlign w:val="superscript"/>
        </w:rPr>
        <w:t>11</w:t>
      </w:r>
      <w:r w:rsidRPr="00000523">
        <w:rPr>
          <w:rFonts w:ascii="Calibri" w:eastAsia="Google Sans Text" w:hAnsi="Calibri" w:cs="Calibri"/>
          <w:color w:val="1B1C1D"/>
        </w:rPr>
        <w:t xml:space="preserve"> Что касается капитальных затрат, "Росатом" находится среди лидеров: оценочная удельная капитальная стоимость (Overnight Cost) для VVER-1200 составляет примерно $2,271/кВт (по оценкам 2018 года).</w:t>
      </w:r>
      <w:r w:rsidRPr="00000523">
        <w:rPr>
          <w:rFonts w:ascii="Calibri" w:eastAsia="Google Sans Text" w:hAnsi="Calibri" w:cs="Calibri"/>
          <w:color w:val="575B5F"/>
          <w:sz w:val="24"/>
          <w:szCs w:val="24"/>
          <w:vertAlign w:val="superscript"/>
        </w:rPr>
        <w:t>11</w:t>
      </w:r>
      <w:r w:rsidRPr="00000523">
        <w:rPr>
          <w:rFonts w:ascii="Calibri" w:eastAsia="Google Sans Text" w:hAnsi="Calibri" w:cs="Calibri"/>
          <w:color w:val="1B1C1D"/>
        </w:rPr>
        <w:t xml:space="preserve"> Целевой срок строительства, озвученный для проекта в Китае, составляет всего 69 месяцев (5.75 лет).</w:t>
      </w:r>
      <w:r w:rsidRPr="00000523">
        <w:rPr>
          <w:rFonts w:ascii="Calibri" w:eastAsia="Google Sans Text" w:hAnsi="Calibri" w:cs="Calibri"/>
          <w:color w:val="575B5F"/>
          <w:sz w:val="24"/>
          <w:szCs w:val="24"/>
          <w:vertAlign w:val="superscript"/>
        </w:rPr>
        <w:t>21</w:t>
      </w:r>
      <w:r w:rsidRPr="00000523">
        <w:rPr>
          <w:rFonts w:ascii="Calibri" w:eastAsia="Google Sans Text" w:hAnsi="Calibri" w:cs="Calibri"/>
          <w:color w:val="1B1C1D"/>
        </w:rPr>
        <w:t xml:space="preserve"> Низкая стоимость достигается за счет стандартизации реакторов и эффективного управления поставками, что минимизирует риски проекта, даже если геополитический контекст осложняет сотрудничество с ЕС.</w:t>
      </w:r>
    </w:p>
    <w:p w14:paraId="7B95E2FB"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10" w:name="_Toc210582172"/>
      <w:r w:rsidRPr="00000523">
        <w:rPr>
          <w:rFonts w:ascii="Calibri" w:eastAsia="Google Sans" w:hAnsi="Calibri" w:cs="Calibri"/>
          <w:color w:val="1B1C1D"/>
        </w:rPr>
        <w:t>3.2. Южная Корея (KHNP): APR-1400</w:t>
      </w:r>
      <w:bookmarkEnd w:id="10"/>
    </w:p>
    <w:p w14:paraId="4C585987"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Южнокорейский APR-1400 — еще один ключевой реактор поколения Gen III+. KHNP считается "золотым стандартом" исполнения среди крупных атомных проектов последнего десятилетия. Проект Барака в Объединенных Арабских Эмиратах, состоящий из четырех блоков по 1345 МВт, демонстрирует способность KHNP управлять крупномасштабным экспортом, соблюдая относительно жесткие сроки (7–8 лет от первого бетона до коммерческой эксплуатации для каждого блока).</w:t>
      </w:r>
      <w:r w:rsidRPr="00000523">
        <w:rPr>
          <w:rFonts w:ascii="Calibri" w:eastAsia="Google Sans Text" w:hAnsi="Calibri" w:cs="Calibri"/>
          <w:color w:val="575B5F"/>
          <w:sz w:val="24"/>
          <w:szCs w:val="24"/>
          <w:vertAlign w:val="superscript"/>
        </w:rPr>
        <w:t>20</w:t>
      </w:r>
    </w:p>
    <w:p w14:paraId="746F69F4"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1B1C1D"/>
        </w:rPr>
      </w:pPr>
      <w:r w:rsidRPr="00000523">
        <w:rPr>
          <w:rFonts w:ascii="Calibri" w:eastAsia="Google Sans Text" w:hAnsi="Calibri" w:cs="Calibri"/>
          <w:color w:val="1B1C1D"/>
        </w:rPr>
        <w:t>APR-1400 также предлагает одну из самых низких оценочных удельных капитальных стоимостей среди крупногабаритных реакторов Gen III+ — около $2,157/кВт (2018 г.).</w:t>
      </w:r>
      <w:r w:rsidRPr="00000523">
        <w:rPr>
          <w:rFonts w:ascii="Calibri" w:eastAsia="Google Sans Text" w:hAnsi="Calibri" w:cs="Calibri"/>
          <w:color w:val="575B5F"/>
          <w:sz w:val="24"/>
          <w:szCs w:val="24"/>
          <w:vertAlign w:val="superscript"/>
        </w:rPr>
        <w:t>11</w:t>
      </w:r>
      <w:r w:rsidRPr="00000523">
        <w:rPr>
          <w:rFonts w:ascii="Calibri" w:eastAsia="Google Sans Text" w:hAnsi="Calibri" w:cs="Calibri"/>
          <w:color w:val="1B1C1D"/>
        </w:rPr>
        <w:t xml:space="preserve"> Недавняя победа KHNP в тендере на строительство в Чехии (с запланированным началом строительства в 2029 году и общим бюджетом $18.6 млрд за два блока) </w:t>
      </w:r>
      <w:r w:rsidRPr="00000523">
        <w:rPr>
          <w:rFonts w:ascii="Calibri" w:eastAsia="Google Sans Text" w:hAnsi="Calibri" w:cs="Calibri"/>
          <w:color w:val="575B5F"/>
          <w:sz w:val="24"/>
          <w:szCs w:val="24"/>
          <w:vertAlign w:val="superscript"/>
        </w:rPr>
        <w:t>8</w:t>
      </w:r>
      <w:r w:rsidRPr="00000523">
        <w:rPr>
          <w:rFonts w:ascii="Calibri" w:eastAsia="Google Sans Text" w:hAnsi="Calibri" w:cs="Calibri"/>
          <w:color w:val="1B1C1D"/>
        </w:rPr>
        <w:t>, подтверждает его способность работать на европейском рынке и проходить строгие регуляторные требования, что делает его наиболее сбалансированным вариантом для Сербии, сочетающим надежность исполнения, конкурентоспособную стоимость и приемлемый геополитический профиль.</w:t>
      </w:r>
    </w:p>
    <w:p w14:paraId="5A5EF349"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11" w:name="_Toc210582173"/>
      <w:r w:rsidRPr="00000523">
        <w:rPr>
          <w:rFonts w:ascii="Calibri" w:eastAsia="Google Sans" w:hAnsi="Calibri" w:cs="Calibri"/>
          <w:color w:val="1B1C1D"/>
        </w:rPr>
        <w:t>3.3. Франция (EDF): EPR2</w:t>
      </w:r>
      <w:bookmarkEnd w:id="11"/>
    </w:p>
    <w:p w14:paraId="550DCF56"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Наиболее вероятным предложением от Франции будет оптимизированный реактор EPR2, </w:t>
      </w:r>
      <w:r w:rsidRPr="00000523">
        <w:rPr>
          <w:rFonts w:ascii="Calibri" w:eastAsia="Google Sans Text" w:hAnsi="Calibri" w:cs="Calibri"/>
          <w:color w:val="1B1C1D"/>
        </w:rPr>
        <w:lastRenderedPageBreak/>
        <w:t>разработанный с целью устранения проблем, связанных с предыдущим поколением EPR (EPR1650). Проекты первого поколения EPR, такие как Олкилуото-3 в Финляндии и Хинкли Пойнт C в Великобритании, столкнулись с беспрецедентными задержками и перерасходами. Строительство Хинкли Пойнт C, например, откладывалось уже несколько раз, а его стоимость оценивается в £35 млрд (в ценах 2015 года), что эквивалентно $68.7 млрд в современных долларах.</w:t>
      </w:r>
      <w:r w:rsidRPr="00000523">
        <w:rPr>
          <w:rFonts w:ascii="Calibri" w:eastAsia="Google Sans Text" w:hAnsi="Calibri" w:cs="Calibri"/>
          <w:color w:val="575B5F"/>
          <w:sz w:val="24"/>
          <w:szCs w:val="24"/>
          <w:vertAlign w:val="superscript"/>
        </w:rPr>
        <w:t>22</w:t>
      </w:r>
    </w:p>
    <w:p w14:paraId="0DD7F03C"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Оценочная Overnight Cost для EPR1650 составляла ~$4,013/кВт (2018 г.).</w:t>
      </w:r>
      <w:r w:rsidRPr="00000523">
        <w:rPr>
          <w:rFonts w:ascii="Calibri" w:eastAsia="Google Sans Text" w:hAnsi="Calibri" w:cs="Calibri"/>
          <w:color w:val="575B5F"/>
          <w:sz w:val="24"/>
          <w:szCs w:val="24"/>
          <w:vertAlign w:val="superscript"/>
        </w:rPr>
        <w:t>11</w:t>
      </w:r>
      <w:r w:rsidRPr="00000523">
        <w:rPr>
          <w:rFonts w:ascii="Calibri" w:eastAsia="Google Sans Text" w:hAnsi="Calibri" w:cs="Calibri"/>
          <w:color w:val="1B1C1D"/>
        </w:rPr>
        <w:t xml:space="preserve"> Хотя участие EDF в предварительном техническом исследовании Сербии </w:t>
      </w:r>
      <w:r w:rsidRPr="00000523">
        <w:rPr>
          <w:rFonts w:ascii="Calibri" w:eastAsia="Google Sans Text" w:hAnsi="Calibri" w:cs="Calibri"/>
          <w:color w:val="575B5F"/>
          <w:sz w:val="24"/>
          <w:szCs w:val="24"/>
          <w:vertAlign w:val="superscript"/>
        </w:rPr>
        <w:t>1</w:t>
      </w:r>
      <w:r w:rsidRPr="00000523">
        <w:rPr>
          <w:rFonts w:ascii="Calibri" w:eastAsia="Google Sans Text" w:hAnsi="Calibri" w:cs="Calibri"/>
          <w:color w:val="1B1C1D"/>
        </w:rPr>
        <w:t xml:space="preserve"> гарантирует идеальное регуляторное и политическое соответствие требованиям ЕС, историческая ненадежность исполнения проекта и высокая стоимость делают это предложение наименее конкурентоспособным с экономической точки зрения для Сербии. Страна-заказчик принимает на себя максимальный риск исполнения проекта, учитывая, что Франция не строила новые АЭС в течение длительного времени.</w:t>
      </w:r>
      <w:r w:rsidRPr="00000523">
        <w:rPr>
          <w:rFonts w:ascii="Calibri" w:eastAsia="Google Sans Text" w:hAnsi="Calibri" w:cs="Calibri"/>
          <w:color w:val="575B5F"/>
          <w:sz w:val="24"/>
          <w:szCs w:val="24"/>
          <w:vertAlign w:val="superscript"/>
        </w:rPr>
        <w:t>7</w:t>
      </w:r>
    </w:p>
    <w:p w14:paraId="05D76226"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12" w:name="_Toc210582174"/>
      <w:r w:rsidRPr="00000523">
        <w:rPr>
          <w:rFonts w:ascii="Calibri" w:eastAsia="Google Sans" w:hAnsi="Calibri" w:cs="Calibri"/>
          <w:color w:val="1B1C1D"/>
        </w:rPr>
        <w:t>3.4. США (Westinghouse): AP1000</w:t>
      </w:r>
      <w:bookmarkEnd w:id="12"/>
    </w:p>
    <w:p w14:paraId="61997194"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Реактор Westinghouse AP1000 поколения Gen III+ оснащен передовыми пассивными системами безопасности.</w:t>
      </w:r>
      <w:r w:rsidRPr="00000523">
        <w:rPr>
          <w:rFonts w:ascii="Calibri" w:eastAsia="Google Sans Text" w:hAnsi="Calibri" w:cs="Calibri"/>
          <w:color w:val="575B5F"/>
          <w:sz w:val="24"/>
          <w:szCs w:val="24"/>
          <w:vertAlign w:val="superscript"/>
        </w:rPr>
        <w:t>22</w:t>
      </w:r>
      <w:r w:rsidRPr="00000523">
        <w:rPr>
          <w:rFonts w:ascii="Calibri" w:eastAsia="Google Sans Text" w:hAnsi="Calibri" w:cs="Calibri"/>
          <w:color w:val="1B1C1D"/>
        </w:rPr>
        <w:t xml:space="preserve"> Однако его первое внедрение в США (блоки Вогтл 3 и 4) столкнулось с катастрофическими задержками и превышением бюджета, оцениваемым более чем в $30 млрд.</w:t>
      </w:r>
      <w:r w:rsidRPr="00000523">
        <w:rPr>
          <w:rFonts w:ascii="Calibri" w:eastAsia="Google Sans Text" w:hAnsi="Calibri" w:cs="Calibri"/>
          <w:color w:val="575B5F"/>
          <w:sz w:val="24"/>
          <w:szCs w:val="24"/>
          <w:vertAlign w:val="superscript"/>
        </w:rPr>
        <w:t>23</w:t>
      </w:r>
    </w:p>
    <w:p w14:paraId="56A72A42"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Текущие оценки для следующих коммерческих предложений (Nth-of-a-Kind, NOAK) AP1000 в США остаются очень высокими: Overnight Cost оценивается в диапазоне $8,300–$10,375/кВт (в ценах 2024 года).</w:t>
      </w:r>
      <w:r w:rsidRPr="00000523">
        <w:rPr>
          <w:rFonts w:ascii="Calibri" w:eastAsia="Google Sans Text" w:hAnsi="Calibri" w:cs="Calibri"/>
          <w:color w:val="575B5F"/>
          <w:sz w:val="24"/>
          <w:szCs w:val="24"/>
          <w:vertAlign w:val="superscript"/>
        </w:rPr>
        <w:t>24</w:t>
      </w:r>
      <w:r w:rsidRPr="00000523">
        <w:rPr>
          <w:rFonts w:ascii="Calibri" w:eastAsia="Google Sans Text" w:hAnsi="Calibri" w:cs="Calibri"/>
          <w:color w:val="1B1C1D"/>
        </w:rPr>
        <w:t xml:space="preserve"> Ожидаемый срок строительства NOAK составляет 80–96 месяцев (6.7–8 лет).</w:t>
      </w:r>
      <w:r w:rsidRPr="00000523">
        <w:rPr>
          <w:rFonts w:ascii="Calibri" w:eastAsia="Google Sans Text" w:hAnsi="Calibri" w:cs="Calibri"/>
          <w:color w:val="575B5F"/>
          <w:sz w:val="24"/>
          <w:szCs w:val="24"/>
          <w:vertAlign w:val="superscript"/>
        </w:rPr>
        <w:t>24</w:t>
      </w:r>
      <w:r w:rsidRPr="00000523">
        <w:rPr>
          <w:rFonts w:ascii="Calibri" w:eastAsia="Google Sans Text" w:hAnsi="Calibri" w:cs="Calibri"/>
          <w:color w:val="1B1C1D"/>
        </w:rPr>
        <w:t xml:space="preserve"> Эта стоимость в 3–5 раз превышает оценки для конкурентов из России, Кореи и Китая.</w:t>
      </w:r>
      <w:r w:rsidRPr="00000523">
        <w:rPr>
          <w:rFonts w:ascii="Calibri" w:eastAsia="Google Sans Text" w:hAnsi="Calibri" w:cs="Calibri"/>
          <w:color w:val="575B5F"/>
          <w:sz w:val="24"/>
          <w:szCs w:val="24"/>
          <w:vertAlign w:val="superscript"/>
        </w:rPr>
        <w:t>11</w:t>
      </w:r>
      <w:r w:rsidRPr="00000523">
        <w:rPr>
          <w:rFonts w:ascii="Calibri" w:eastAsia="Google Sans Text" w:hAnsi="Calibri" w:cs="Calibri"/>
          <w:color w:val="1B1C1D"/>
        </w:rPr>
        <w:t xml:space="preserve"> Это отражает не только сложность технологии, но и высокие регуляторные и рыночные издержки США. Для того чтобы предложение Westinghouse было экономически конкурентоспособным в Сербии, оно должно быть подкреплено массивной финансовой поддержкой со стороны правительства США (через механизмы, аналогичные федеральным кредитным гарантиям или налоговым льготам, упомянутым в американских исследованиях).</w:t>
      </w:r>
      <w:r w:rsidRPr="00000523">
        <w:rPr>
          <w:rFonts w:ascii="Calibri" w:eastAsia="Google Sans Text" w:hAnsi="Calibri" w:cs="Calibri"/>
          <w:color w:val="575B5F"/>
          <w:sz w:val="24"/>
          <w:szCs w:val="24"/>
          <w:vertAlign w:val="superscript"/>
        </w:rPr>
        <w:t>24</w:t>
      </w:r>
    </w:p>
    <w:p w14:paraId="1D5CB3FA"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13" w:name="_Toc210582175"/>
      <w:r w:rsidRPr="00000523">
        <w:rPr>
          <w:rFonts w:ascii="Calibri" w:eastAsia="Google Sans" w:hAnsi="Calibri" w:cs="Calibri"/>
          <w:color w:val="1B1C1D"/>
        </w:rPr>
        <w:t>3.5. Китай (CNNC/CGN): HPR1000</w:t>
      </w:r>
      <w:bookmarkEnd w:id="13"/>
    </w:p>
    <w:p w14:paraId="7C799FE1"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Китайский HPR1000 (Hualong One) — это совместная разработка CNNC и CGN, основанная на французском дизайне M310.</w:t>
      </w:r>
      <w:r w:rsidRPr="00000523">
        <w:rPr>
          <w:rFonts w:ascii="Calibri" w:eastAsia="Google Sans Text" w:hAnsi="Calibri" w:cs="Calibri"/>
          <w:color w:val="575B5F"/>
          <w:sz w:val="24"/>
          <w:szCs w:val="24"/>
          <w:vertAlign w:val="superscript"/>
        </w:rPr>
        <w:t>25</w:t>
      </w:r>
      <w:r w:rsidRPr="00000523">
        <w:rPr>
          <w:rFonts w:ascii="Calibri" w:eastAsia="Google Sans Text" w:hAnsi="Calibri" w:cs="Calibri"/>
          <w:color w:val="1B1C1D"/>
        </w:rPr>
        <w:t xml:space="preserve"> Он является сильным конкурентом, предлагающим экономическую привлекательность, сравнимую с Rosatom. Оценочная Overnight Cost составляет ~$2,500/кВт (2018 г.).</w:t>
      </w:r>
      <w:r w:rsidRPr="00000523">
        <w:rPr>
          <w:rFonts w:ascii="Calibri" w:eastAsia="Google Sans Text" w:hAnsi="Calibri" w:cs="Calibri"/>
          <w:color w:val="575B5F"/>
          <w:sz w:val="24"/>
          <w:szCs w:val="24"/>
          <w:vertAlign w:val="superscript"/>
        </w:rPr>
        <w:t>11</w:t>
      </w:r>
    </w:p>
    <w:p w14:paraId="60F76476" w14:textId="11C88C26" w:rsid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1B1C1D"/>
        </w:rPr>
      </w:pPr>
      <w:r w:rsidRPr="00000523">
        <w:rPr>
          <w:rFonts w:ascii="Calibri" w:eastAsia="Google Sans Text" w:hAnsi="Calibri" w:cs="Calibri"/>
          <w:color w:val="1B1C1D"/>
        </w:rPr>
        <w:t>Китайские реакторы известны своей скоростью строительства на внутреннем рынке. Экспортная модель Китая, аналогично России, основана на использовании государственных экспортно-кредитных агентств (ЭКА), которые предлагают выгодные условия финансирования.</w:t>
      </w:r>
      <w:r w:rsidRPr="00000523">
        <w:rPr>
          <w:rFonts w:ascii="Calibri" w:eastAsia="Google Sans Text" w:hAnsi="Calibri" w:cs="Calibri"/>
          <w:color w:val="575B5F"/>
          <w:sz w:val="24"/>
          <w:szCs w:val="24"/>
          <w:vertAlign w:val="superscript"/>
        </w:rPr>
        <w:t>13</w:t>
      </w:r>
      <w:r w:rsidRPr="00000523">
        <w:rPr>
          <w:rFonts w:ascii="Calibri" w:eastAsia="Google Sans Text" w:hAnsi="Calibri" w:cs="Calibri"/>
          <w:color w:val="1B1C1D"/>
        </w:rPr>
        <w:t xml:space="preserve"> HPR1000 представляет собой стратегическую альтернативу, поскольку предлагает низкую стоимость и скорость исполнения, но без немедленного конфликта с ЕС в контексте санкций против России.</w:t>
      </w:r>
    </w:p>
    <w:p w14:paraId="0DD5E819" w14:textId="42E2FA3C" w:rsidR="00A7701B" w:rsidRPr="00000523" w:rsidRDefault="00000000" w:rsidP="00000523">
      <w:pPr>
        <w:pBdr>
          <w:top w:val="nil"/>
          <w:left w:val="nil"/>
          <w:bottom w:val="nil"/>
          <w:right w:val="nil"/>
          <w:between w:val="nil"/>
        </w:pBdr>
        <w:spacing w:before="120" w:after="240" w:line="275" w:lineRule="auto"/>
        <w:jc w:val="both"/>
        <w:rPr>
          <w:rFonts w:ascii="Calibri" w:eastAsia="Google Sans Text" w:hAnsi="Calibri" w:cs="Calibri"/>
          <w:color w:val="1B1C1D"/>
        </w:rPr>
      </w:pPr>
      <w:r w:rsidRPr="00000523">
        <w:rPr>
          <w:rFonts w:ascii="Calibri" w:eastAsia="Google Sans Text" w:hAnsi="Calibri" w:cs="Calibri"/>
          <w:color w:val="1B1C1D"/>
        </w:rPr>
        <w:lastRenderedPageBreak/>
        <w:t>Таблица 3.1. Сравнительный анализ капитальных затрат и целевых сроков строительства крупномасштабных АЭС</w:t>
      </w:r>
    </w:p>
    <w:p w14:paraId="6235C9C4" w14:textId="77777777" w:rsidR="00A7701B" w:rsidRPr="00000523" w:rsidRDefault="00A7701B" w:rsidP="00000523">
      <w:pPr>
        <w:pBdr>
          <w:top w:val="nil"/>
          <w:left w:val="nil"/>
          <w:bottom w:val="nil"/>
          <w:right w:val="nil"/>
          <w:between w:val="nil"/>
        </w:pBdr>
        <w:spacing w:line="275" w:lineRule="auto"/>
        <w:jc w:val="both"/>
        <w:rPr>
          <w:rFonts w:ascii="Calibri" w:eastAsia="Google Sans Text" w:hAnsi="Calibri" w:cs="Calibri"/>
          <w:color w:val="1B1C1D"/>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A7701B" w:rsidRPr="00000523" w14:paraId="6465CF90"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8A575E"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Вендор (Страна)</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4691F6"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Реактор</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5A318E"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Мощность (МВт)</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2BEE5A"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Оценочная Капитальная Стоимость (Overnight Cost, $/кВт)</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63BD66"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Целевой Срок Строительства (Месяцы)</w:t>
            </w:r>
          </w:p>
        </w:tc>
      </w:tr>
      <w:tr w:rsidR="00A7701B" w:rsidRPr="00000523" w14:paraId="285FC92E"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D8BB87"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Южная Корея (KHNP)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9EF952"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APR-1400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CF7902"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~1400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6220BD"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$2,157/кВт (2018 est.) </w:t>
            </w:r>
            <w:r w:rsidRPr="00000523">
              <w:rPr>
                <w:rFonts w:ascii="Calibri" w:eastAsia="Google Sans Text" w:hAnsi="Calibri" w:cs="Calibri"/>
                <w:color w:val="575B5F"/>
                <w:sz w:val="24"/>
                <w:szCs w:val="24"/>
                <w:vertAlign w:val="superscript"/>
              </w:rPr>
              <w:t>11</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8EB26D"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84–97 (Факт, ОАЭ) </w:t>
            </w:r>
            <w:r w:rsidRPr="00000523">
              <w:rPr>
                <w:rFonts w:ascii="Calibri" w:eastAsia="Google Sans Text" w:hAnsi="Calibri" w:cs="Calibri"/>
                <w:color w:val="575B5F"/>
                <w:sz w:val="24"/>
                <w:szCs w:val="24"/>
                <w:vertAlign w:val="superscript"/>
              </w:rPr>
              <w:t>20</w:t>
            </w:r>
          </w:p>
        </w:tc>
      </w:tr>
      <w:tr w:rsidR="00A7701B" w:rsidRPr="00000523" w14:paraId="607362BD"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B5AB6B"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Россия (Rosatom)</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7E338A"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ВВЭР-1200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8BFECA"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~1200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BA5410"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$2,271/кВт (2018 est.) </w:t>
            </w:r>
            <w:r w:rsidRPr="00000523">
              <w:rPr>
                <w:rFonts w:ascii="Calibri" w:eastAsia="Google Sans Text" w:hAnsi="Calibri" w:cs="Calibri"/>
                <w:color w:val="575B5F"/>
                <w:sz w:val="24"/>
                <w:szCs w:val="24"/>
                <w:vertAlign w:val="superscript"/>
              </w:rPr>
              <w:t>11</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37CAFE"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69 (Цель, Китай) </w:t>
            </w:r>
            <w:r w:rsidRPr="00000523">
              <w:rPr>
                <w:rFonts w:ascii="Calibri" w:eastAsia="Google Sans Text" w:hAnsi="Calibri" w:cs="Calibri"/>
                <w:color w:val="575B5F"/>
                <w:sz w:val="24"/>
                <w:szCs w:val="24"/>
                <w:vertAlign w:val="superscript"/>
              </w:rPr>
              <w:t>21</w:t>
            </w:r>
          </w:p>
        </w:tc>
      </w:tr>
      <w:tr w:rsidR="00A7701B" w:rsidRPr="00000523" w14:paraId="66DEF8A1"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9FDF3A"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Китай (CNNC/CGN)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43837F"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HPR1000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18674B"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~1000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3F7F03"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$2,500/кВт (2018 est.) </w:t>
            </w:r>
            <w:r w:rsidRPr="00000523">
              <w:rPr>
                <w:rFonts w:ascii="Calibri" w:eastAsia="Google Sans Text" w:hAnsi="Calibri" w:cs="Calibri"/>
                <w:color w:val="575B5F"/>
                <w:sz w:val="24"/>
                <w:szCs w:val="24"/>
                <w:vertAlign w:val="superscript"/>
              </w:rPr>
              <w:t>11</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F87CF7"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Недоступно (Цель ниже 84)</w:t>
            </w:r>
          </w:p>
        </w:tc>
      </w:tr>
      <w:tr w:rsidR="00A7701B" w:rsidRPr="00000523" w14:paraId="2983568D"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F51DB8"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Франция (EDF)</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81DE87"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EPR1650 (Прошлый Ген.)</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42D434"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~1650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D3D610"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$4,013/кВт (2018 est.) </w:t>
            </w:r>
            <w:r w:rsidRPr="00000523">
              <w:rPr>
                <w:rFonts w:ascii="Calibri" w:eastAsia="Google Sans Text" w:hAnsi="Calibri" w:cs="Calibri"/>
                <w:color w:val="575B5F"/>
                <w:sz w:val="24"/>
                <w:szCs w:val="24"/>
                <w:vertAlign w:val="superscript"/>
              </w:rPr>
              <w:t>11</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C7F15C"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&gt;180 (Факт, Великобритания) </w:t>
            </w:r>
            <w:r w:rsidRPr="00000523">
              <w:rPr>
                <w:rFonts w:ascii="Calibri" w:eastAsia="Google Sans Text" w:hAnsi="Calibri" w:cs="Calibri"/>
                <w:color w:val="575B5F"/>
                <w:sz w:val="24"/>
                <w:szCs w:val="24"/>
                <w:vertAlign w:val="superscript"/>
              </w:rPr>
              <w:t>22</w:t>
            </w:r>
          </w:p>
        </w:tc>
      </w:tr>
      <w:tr w:rsidR="00A7701B" w:rsidRPr="00000523" w14:paraId="7613BDCA"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9C29ED"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США (Westinghouse)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01469C"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AP1000 (NOAK)</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FE9C86"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~1150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C78FF3"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$8,300–$10,375/кВт (2024 est.) </w:t>
            </w:r>
            <w:r w:rsidRPr="00000523">
              <w:rPr>
                <w:rFonts w:ascii="Calibri" w:eastAsia="Google Sans Text" w:hAnsi="Calibri" w:cs="Calibri"/>
                <w:color w:val="575B5F"/>
                <w:sz w:val="24"/>
                <w:szCs w:val="24"/>
                <w:vertAlign w:val="superscript"/>
              </w:rPr>
              <w:t>24</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EA6438"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80–96 (Цель NOAK) </w:t>
            </w:r>
            <w:r w:rsidRPr="00000523">
              <w:rPr>
                <w:rFonts w:ascii="Calibri" w:eastAsia="Google Sans Text" w:hAnsi="Calibri" w:cs="Calibri"/>
                <w:color w:val="575B5F"/>
                <w:sz w:val="24"/>
                <w:szCs w:val="24"/>
                <w:vertAlign w:val="superscript"/>
              </w:rPr>
              <w:t>24</w:t>
            </w:r>
          </w:p>
        </w:tc>
      </w:tr>
    </w:tbl>
    <w:p w14:paraId="6E64DB8D" w14:textId="0F9A9208" w:rsidR="00A7701B" w:rsidRPr="00000523" w:rsidRDefault="00A7701B" w:rsidP="00000523">
      <w:pPr>
        <w:pBdr>
          <w:top w:val="nil"/>
          <w:left w:val="nil"/>
          <w:bottom w:val="nil"/>
          <w:right w:val="nil"/>
          <w:between w:val="nil"/>
        </w:pBdr>
        <w:spacing w:before="120" w:after="240" w:line="275" w:lineRule="auto"/>
        <w:jc w:val="both"/>
        <w:rPr>
          <w:rFonts w:ascii="Calibri" w:eastAsia="Google Sans Text" w:hAnsi="Calibri" w:cs="Calibri"/>
          <w:color w:val="575B5F"/>
          <w:sz w:val="24"/>
          <w:szCs w:val="24"/>
          <w:vertAlign w:val="superscript"/>
        </w:rPr>
      </w:pPr>
    </w:p>
    <w:p w14:paraId="2E47A317" w14:textId="77777777" w:rsidR="00A7701B" w:rsidRPr="00000523" w:rsidRDefault="00000000" w:rsidP="00000523">
      <w:pPr>
        <w:pStyle w:val="2"/>
        <w:spacing w:before="0" w:after="120" w:line="275" w:lineRule="auto"/>
        <w:jc w:val="both"/>
        <w:rPr>
          <w:rFonts w:ascii="Calibri" w:eastAsia="Google Sans" w:hAnsi="Calibri" w:cs="Calibri"/>
          <w:color w:val="1B1C1D"/>
        </w:rPr>
      </w:pPr>
      <w:bookmarkStart w:id="14" w:name="_Toc210582176"/>
      <w:r w:rsidRPr="00000523">
        <w:rPr>
          <w:rFonts w:ascii="Calibri" w:eastAsia="Google Sans" w:hAnsi="Calibri" w:cs="Calibri"/>
          <w:color w:val="1B1C1D"/>
        </w:rPr>
        <w:t>РАЗДЕЛ IV: АНАЛИЗ ПРЕДЛОЖЕНИЙ МАЛЫХ МОДУЛЬНЫХ РЕАКТОРОВ (ММР)</w:t>
      </w:r>
      <w:bookmarkEnd w:id="14"/>
    </w:p>
    <w:p w14:paraId="68767B86"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15" w:name="_Toc210582177"/>
      <w:r w:rsidRPr="00000523">
        <w:rPr>
          <w:rFonts w:ascii="Calibri" w:eastAsia="Google Sans" w:hAnsi="Calibri" w:cs="Calibri"/>
          <w:color w:val="1B1C1D"/>
        </w:rPr>
        <w:t>4.1. Концепция ММР: Преимущества и экономика</w:t>
      </w:r>
      <w:bookmarkEnd w:id="15"/>
    </w:p>
    <w:p w14:paraId="21E6A7F1"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Малые модульные реакторы (ММР) определяются как реакторы мощностью 300 МВт или менее, спроектированные с использованием модульной технологии для заводского изготовления и серийного производства.</w:t>
      </w:r>
      <w:r w:rsidRPr="00000523">
        <w:rPr>
          <w:rFonts w:ascii="Calibri" w:eastAsia="Google Sans Text" w:hAnsi="Calibri" w:cs="Calibri"/>
          <w:color w:val="575B5F"/>
          <w:sz w:val="24"/>
          <w:szCs w:val="24"/>
          <w:vertAlign w:val="superscript"/>
        </w:rPr>
        <w:t>26</w:t>
      </w:r>
      <w:r w:rsidRPr="00000523">
        <w:rPr>
          <w:rFonts w:ascii="Calibri" w:eastAsia="Google Sans Text" w:hAnsi="Calibri" w:cs="Calibri"/>
          <w:color w:val="1B1C1D"/>
        </w:rPr>
        <w:t xml:space="preserve"> Основное преимущество ММР заключается в сокращении сроков строительства и снижении общего объема необходимых капитальных затрат на один модуль (хотя не обязательно удельной стоимости на кВт).</w:t>
      </w:r>
      <w:r w:rsidRPr="00000523">
        <w:rPr>
          <w:rFonts w:ascii="Calibri" w:eastAsia="Google Sans Text" w:hAnsi="Calibri" w:cs="Calibri"/>
          <w:color w:val="575B5F"/>
          <w:sz w:val="24"/>
          <w:szCs w:val="24"/>
          <w:vertAlign w:val="superscript"/>
        </w:rPr>
        <w:t>28</w:t>
      </w:r>
    </w:p>
    <w:p w14:paraId="28C57A4E"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lastRenderedPageBreak/>
        <w:t>Ключевым экономическим преимуществом ММР является возможность поэтапного ввода в эксплуатацию. Первый модуль может быть запущен и начать генерировать энергию и, соответственно, доход, пока строятся последующие.</w:t>
      </w:r>
      <w:r w:rsidRPr="00000523">
        <w:rPr>
          <w:rFonts w:ascii="Calibri" w:eastAsia="Google Sans Text" w:hAnsi="Calibri" w:cs="Calibri"/>
          <w:color w:val="575B5F"/>
          <w:sz w:val="24"/>
          <w:szCs w:val="24"/>
          <w:vertAlign w:val="superscript"/>
        </w:rPr>
        <w:t>29</w:t>
      </w:r>
      <w:r w:rsidRPr="00000523">
        <w:rPr>
          <w:rFonts w:ascii="Calibri" w:eastAsia="Google Sans Text" w:hAnsi="Calibri" w:cs="Calibri"/>
          <w:color w:val="1B1C1D"/>
        </w:rPr>
        <w:t xml:space="preserve"> Эта возможность сокращает период накопления процентов в процессе строительства (IDC), что является решающим фактором для снижения общих финансовых издержек. Если крупный реактор со стоимостью $6,600/кВт и сроком строительства 15 лет сравнивается с ММР стоимостью $10,000/кВт и сроком строительства 5 лет (при ставке 5%), общая стоимость SMR (с учетом финансирования) оказывается ниже.</w:t>
      </w:r>
      <w:r w:rsidRPr="00000523">
        <w:rPr>
          <w:rFonts w:ascii="Calibri" w:eastAsia="Google Sans Text" w:hAnsi="Calibri" w:cs="Calibri"/>
          <w:color w:val="575B5F"/>
          <w:sz w:val="24"/>
          <w:szCs w:val="24"/>
          <w:vertAlign w:val="superscript"/>
        </w:rPr>
        <w:t>29</w:t>
      </w:r>
    </w:p>
    <w:p w14:paraId="695995E2"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16" w:name="_Toc210582178"/>
      <w:r w:rsidRPr="00000523">
        <w:rPr>
          <w:rFonts w:ascii="Calibri" w:eastAsia="Google Sans" w:hAnsi="Calibri" w:cs="Calibri"/>
          <w:color w:val="1B1C1D"/>
        </w:rPr>
        <w:t>4.2. Обзор ключевых технологий ММР и разрыв FOAK–NOAK</w:t>
      </w:r>
      <w:bookmarkEnd w:id="16"/>
    </w:p>
    <w:p w14:paraId="726207EC"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Мировые вендоры активно разрабатывают ММР. Например, американский NuScale предлагает модули VOYGR мощностью 77 МВт с целевой Overnight Cost для NOAK (Nth-of-a-Kind) в диапазоне $2,000–$2,500/кВт.</w:t>
      </w:r>
      <w:r w:rsidRPr="00000523">
        <w:rPr>
          <w:rFonts w:ascii="Calibri" w:eastAsia="Google Sans Text" w:hAnsi="Calibri" w:cs="Calibri"/>
          <w:color w:val="575B5F"/>
          <w:sz w:val="24"/>
          <w:szCs w:val="24"/>
          <w:vertAlign w:val="superscript"/>
        </w:rPr>
        <w:t>30</w:t>
      </w:r>
      <w:r w:rsidRPr="00000523">
        <w:rPr>
          <w:rFonts w:ascii="Calibri" w:eastAsia="Google Sans Text" w:hAnsi="Calibri" w:cs="Calibri"/>
          <w:color w:val="1B1C1D"/>
        </w:rPr>
        <w:t xml:space="preserve"> Великобритания через Rolls-Royce SMR разрабатывает реактор мощностью 470 МВт с целевым сроком строительства первого блока в 3–4 года и планируемым вводом в эксплуатацию к 2030 году.</w:t>
      </w:r>
      <w:r w:rsidRPr="00000523">
        <w:rPr>
          <w:rFonts w:ascii="Calibri" w:eastAsia="Google Sans Text" w:hAnsi="Calibri" w:cs="Calibri"/>
          <w:color w:val="575B5F"/>
          <w:sz w:val="24"/>
          <w:szCs w:val="24"/>
          <w:vertAlign w:val="superscript"/>
        </w:rPr>
        <w:t>31</w:t>
      </w:r>
    </w:p>
    <w:p w14:paraId="35D6E8A3"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1B1C1D"/>
        </w:rPr>
      </w:pPr>
      <w:r w:rsidRPr="00000523">
        <w:rPr>
          <w:rFonts w:ascii="Calibri" w:eastAsia="Google Sans Text" w:hAnsi="Calibri" w:cs="Calibri"/>
          <w:color w:val="1B1C1D"/>
        </w:rPr>
        <w:t>Однако существует значительный разрыв между оптимистичными целевыми показателями (NOAK) и реальностью первых проектов (FOAK). Оценки Международного энергетического агентства (IEA) для FOAK ММР в ЕС составляют около $10,000/кВт.</w:t>
      </w:r>
      <w:r w:rsidRPr="00000523">
        <w:rPr>
          <w:rFonts w:ascii="Calibri" w:eastAsia="Google Sans Text" w:hAnsi="Calibri" w:cs="Calibri"/>
          <w:color w:val="575B5F"/>
          <w:sz w:val="24"/>
          <w:szCs w:val="24"/>
          <w:vertAlign w:val="superscript"/>
        </w:rPr>
        <w:t>29</w:t>
      </w:r>
      <w:r w:rsidRPr="00000523">
        <w:rPr>
          <w:rFonts w:ascii="Calibri" w:eastAsia="Google Sans Text" w:hAnsi="Calibri" w:cs="Calibri"/>
          <w:color w:val="1B1C1D"/>
        </w:rPr>
        <w:t xml:space="preserve"> Сербия, как новый рынок, вероятно, столкнется с затратами, близкими к этим высоким оценкам. Таким образом, удельная капитальная стоимость ММР на ранних этапах развертывания, вероятно, будет выше, чем у проверенных крупногабаритных реакторов от KHNP или Rosatom.</w:t>
      </w:r>
    </w:p>
    <w:p w14:paraId="10A79174"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1B1C1D"/>
        </w:rPr>
      </w:pPr>
      <w:r w:rsidRPr="00000523">
        <w:rPr>
          <w:rFonts w:ascii="Calibri" w:eastAsia="Google Sans Text" w:hAnsi="Calibri" w:cs="Calibri"/>
          <w:color w:val="1B1C1D"/>
        </w:rPr>
        <w:t xml:space="preserve">Выбор ММР для Сербии — это не столько ставка на немедленную низкую удельную стоимость, сколько инструмент управления капитальным риском. Короткие целевые сроки строительства (30–36 месяцев NOAK) </w:t>
      </w:r>
      <w:r w:rsidRPr="00000523">
        <w:rPr>
          <w:rFonts w:ascii="Calibri" w:eastAsia="Google Sans Text" w:hAnsi="Calibri" w:cs="Calibri"/>
          <w:color w:val="575B5F"/>
          <w:sz w:val="24"/>
          <w:szCs w:val="24"/>
          <w:vertAlign w:val="superscript"/>
        </w:rPr>
        <w:t>30</w:t>
      </w:r>
      <w:r w:rsidRPr="00000523">
        <w:rPr>
          <w:rFonts w:ascii="Calibri" w:eastAsia="Google Sans Text" w:hAnsi="Calibri" w:cs="Calibri"/>
          <w:color w:val="1B1C1D"/>
        </w:rPr>
        <w:t xml:space="preserve"> эффективно ограничивают финансовые потери, связанные с задержками, которые часто разрушают бюджеты проектов крупномасштабных АЭС.</w:t>
      </w:r>
    </w:p>
    <w:p w14:paraId="160C8DBD" w14:textId="77777777" w:rsidR="00000523" w:rsidRDefault="00000523">
      <w:pPr>
        <w:rPr>
          <w:rFonts w:ascii="Calibri" w:eastAsia="Google Sans Text" w:hAnsi="Calibri" w:cs="Calibri"/>
          <w:color w:val="1B1C1D"/>
        </w:rPr>
      </w:pPr>
      <w:r>
        <w:rPr>
          <w:rFonts w:ascii="Calibri" w:eastAsia="Google Sans Text" w:hAnsi="Calibri" w:cs="Calibri"/>
          <w:color w:val="1B1C1D"/>
        </w:rPr>
        <w:br w:type="page"/>
      </w:r>
    </w:p>
    <w:p w14:paraId="0783D9A0" w14:textId="4A395F5F" w:rsidR="00A7701B" w:rsidRPr="00000523" w:rsidRDefault="00000000" w:rsidP="00000523">
      <w:pPr>
        <w:pBdr>
          <w:top w:val="nil"/>
          <w:left w:val="nil"/>
          <w:bottom w:val="nil"/>
          <w:right w:val="nil"/>
          <w:between w:val="nil"/>
        </w:pBdr>
        <w:spacing w:before="120" w:after="240" w:line="275" w:lineRule="auto"/>
        <w:jc w:val="both"/>
        <w:rPr>
          <w:rFonts w:ascii="Calibri" w:eastAsia="Google Sans Text" w:hAnsi="Calibri" w:cs="Calibri"/>
          <w:color w:val="1B1C1D"/>
        </w:rPr>
      </w:pPr>
      <w:r w:rsidRPr="00000523">
        <w:rPr>
          <w:rFonts w:ascii="Calibri" w:eastAsia="Google Sans Text" w:hAnsi="Calibri" w:cs="Calibri"/>
          <w:color w:val="1B1C1D"/>
        </w:rPr>
        <w:lastRenderedPageBreak/>
        <w:t>Таблица 4.1. Сравнительный анализ SMR (Small Modular Reactor) Экономики и Сроков</w:t>
      </w:r>
    </w:p>
    <w:p w14:paraId="6840715D" w14:textId="77777777" w:rsidR="00A7701B" w:rsidRPr="00000523" w:rsidRDefault="00A7701B" w:rsidP="00000523">
      <w:pPr>
        <w:pBdr>
          <w:top w:val="nil"/>
          <w:left w:val="nil"/>
          <w:bottom w:val="nil"/>
          <w:right w:val="nil"/>
          <w:between w:val="nil"/>
        </w:pBdr>
        <w:spacing w:line="275" w:lineRule="auto"/>
        <w:jc w:val="both"/>
        <w:rPr>
          <w:rFonts w:ascii="Calibri" w:eastAsia="Google Sans Text" w:hAnsi="Calibri" w:cs="Calibri"/>
          <w:color w:val="1B1C1D"/>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A7701B" w:rsidRPr="00000523" w14:paraId="419A45C2"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49FD5E"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Тип Реактора (Пример)</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89A6F0"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Вендор</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D609F9"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Мощность (МВт/модуль)</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49658E"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Целевой Срок Строительства NOAK (Месяцы)</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C9D919"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Оценочная Капитальная Стоимость FOAK/NOAK ($/кВт)</w:t>
            </w:r>
          </w:p>
        </w:tc>
      </w:tr>
      <w:tr w:rsidR="00A7701B" w:rsidRPr="00000523" w14:paraId="05613182"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730DB9"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Усредненный SMR (IEA EU)</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E261C7"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Различные</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CDD488"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300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5F1297"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60 (5 лет) </w:t>
            </w:r>
            <w:r w:rsidRPr="00000523">
              <w:rPr>
                <w:rFonts w:ascii="Calibri" w:eastAsia="Google Sans Text" w:hAnsi="Calibri" w:cs="Calibri"/>
                <w:color w:val="575B5F"/>
                <w:sz w:val="24"/>
                <w:szCs w:val="24"/>
                <w:vertAlign w:val="superscript"/>
              </w:rPr>
              <w:t>29</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58F2A4"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~$10,000/кВт (IEA EU FOAK) </w:t>
            </w:r>
            <w:r w:rsidRPr="00000523">
              <w:rPr>
                <w:rFonts w:ascii="Calibri" w:eastAsia="Google Sans Text" w:hAnsi="Calibri" w:cs="Calibri"/>
                <w:color w:val="575B5F"/>
                <w:sz w:val="24"/>
                <w:szCs w:val="24"/>
                <w:vertAlign w:val="superscript"/>
              </w:rPr>
              <w:t>29</w:t>
            </w:r>
          </w:p>
        </w:tc>
      </w:tr>
      <w:tr w:rsidR="00A7701B" w:rsidRPr="00000523" w14:paraId="343B03BE"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B4F6FA"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NuScale VOYGR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73E236"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США (NuScale)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BA022B"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77</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F1E936"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30–36 (NOAK) </w:t>
            </w:r>
            <w:r w:rsidRPr="00000523">
              <w:rPr>
                <w:rFonts w:ascii="Calibri" w:eastAsia="Google Sans Text" w:hAnsi="Calibri" w:cs="Calibri"/>
                <w:color w:val="575B5F"/>
                <w:sz w:val="24"/>
                <w:szCs w:val="24"/>
                <w:vertAlign w:val="superscript"/>
              </w:rPr>
              <w:t>30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8CA24C"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$2,000–$2,500/кВт (Целевой NOAK) </w:t>
            </w:r>
            <w:r w:rsidRPr="00000523">
              <w:rPr>
                <w:rFonts w:ascii="Calibri" w:eastAsia="Google Sans Text" w:hAnsi="Calibri" w:cs="Calibri"/>
                <w:color w:val="575B5F"/>
                <w:sz w:val="24"/>
                <w:szCs w:val="24"/>
                <w:vertAlign w:val="superscript"/>
              </w:rPr>
              <w:t>30</w:t>
            </w:r>
          </w:p>
        </w:tc>
      </w:tr>
      <w:tr w:rsidR="00A7701B" w:rsidRPr="00000523" w14:paraId="1759C3BF"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0B6A76"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Rolls-Royce SMR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0013EC"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Великобритания</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092384"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470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A4769D"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36–48 (FOAK) </w:t>
            </w:r>
            <w:r w:rsidRPr="00000523">
              <w:rPr>
                <w:rFonts w:ascii="Calibri" w:eastAsia="Google Sans Text" w:hAnsi="Calibri" w:cs="Calibri"/>
                <w:color w:val="575B5F"/>
                <w:sz w:val="24"/>
                <w:szCs w:val="24"/>
                <w:vertAlign w:val="superscript"/>
              </w:rPr>
              <w:t>32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6741F2"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Капитальная стоимость неизвестна (Цель LCOE £60/МВтч) </w:t>
            </w:r>
            <w:r w:rsidRPr="00000523">
              <w:rPr>
                <w:rFonts w:ascii="Calibri" w:eastAsia="Google Sans Text" w:hAnsi="Calibri" w:cs="Calibri"/>
                <w:color w:val="575B5F"/>
                <w:sz w:val="24"/>
                <w:szCs w:val="24"/>
                <w:vertAlign w:val="superscript"/>
              </w:rPr>
              <w:t>32</w:t>
            </w:r>
          </w:p>
        </w:tc>
      </w:tr>
    </w:tbl>
    <w:p w14:paraId="69B74044" w14:textId="7AA65769" w:rsidR="00A7701B" w:rsidRPr="00000523" w:rsidRDefault="00A7701B" w:rsidP="00000523">
      <w:pPr>
        <w:pBdr>
          <w:top w:val="nil"/>
          <w:left w:val="nil"/>
          <w:bottom w:val="nil"/>
          <w:right w:val="nil"/>
          <w:between w:val="nil"/>
        </w:pBdr>
        <w:spacing w:before="120" w:after="240" w:line="275" w:lineRule="auto"/>
        <w:jc w:val="both"/>
        <w:rPr>
          <w:rFonts w:ascii="Calibri" w:eastAsia="Google Sans Text" w:hAnsi="Calibri" w:cs="Calibri"/>
          <w:color w:val="575B5F"/>
          <w:sz w:val="24"/>
          <w:szCs w:val="24"/>
          <w:vertAlign w:val="superscript"/>
        </w:rPr>
      </w:pPr>
    </w:p>
    <w:p w14:paraId="69AD41B3" w14:textId="5A74497C" w:rsidR="00A7701B" w:rsidRPr="00000523" w:rsidRDefault="00000000" w:rsidP="00000523">
      <w:pPr>
        <w:pStyle w:val="2"/>
        <w:spacing w:before="0" w:after="120" w:line="275" w:lineRule="auto"/>
        <w:jc w:val="both"/>
        <w:rPr>
          <w:rFonts w:ascii="Calibri" w:eastAsia="Google Sans" w:hAnsi="Calibri" w:cs="Calibri"/>
          <w:color w:val="1B1C1D"/>
          <w:lang w:val="ru-RU"/>
        </w:rPr>
      </w:pPr>
      <w:bookmarkStart w:id="17" w:name="_Toc210582179"/>
      <w:r w:rsidRPr="00000523">
        <w:rPr>
          <w:rFonts w:ascii="Calibri" w:eastAsia="Google Sans" w:hAnsi="Calibri" w:cs="Calibri"/>
          <w:color w:val="1B1C1D"/>
        </w:rPr>
        <w:t>РАЗДЕЛ V: СВОДНЫЙ АНАЛИЗ СРОКОВ И ПРОЕКТНЫХ ВЕХ</w:t>
      </w:r>
      <w:bookmarkEnd w:id="17"/>
    </w:p>
    <w:p w14:paraId="40B0F274"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18" w:name="_Toc210582180"/>
      <w:r w:rsidRPr="00000523">
        <w:rPr>
          <w:rFonts w:ascii="Calibri" w:eastAsia="Google Sans" w:hAnsi="Calibri" w:cs="Calibri"/>
          <w:color w:val="1B1C1D"/>
        </w:rPr>
        <w:t>5.1. Моделирование общей продолжительности проекта для Сербии</w:t>
      </w:r>
      <w:bookmarkEnd w:id="18"/>
    </w:p>
    <w:p w14:paraId="6DC71D02"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1B1C1D"/>
        </w:rPr>
      </w:pPr>
      <w:r w:rsidRPr="00000523">
        <w:rPr>
          <w:rFonts w:ascii="Calibri" w:eastAsia="Google Sans Text" w:hAnsi="Calibri" w:cs="Calibri"/>
          <w:color w:val="1B1C1D"/>
        </w:rPr>
        <w:t>Общая продолжительность проекта (от принятия решения до коммерческой эксплуатации) определяется суммой времени, необходимого для развития национальной инфраструктуры (Фазы 1–3 МАГАТЭ) и фактического строительства (от Вехи 3 до COD).</w:t>
      </w:r>
    </w:p>
    <w:p w14:paraId="0AB0C78C"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1B1C1D"/>
        </w:rPr>
      </w:pPr>
      <w:r w:rsidRPr="00000523">
        <w:rPr>
          <w:rFonts w:ascii="Calibri" w:eastAsia="Google Sans Text" w:hAnsi="Calibri" w:cs="Calibri"/>
          <w:color w:val="1B1C1D"/>
        </w:rPr>
        <w:t>При консервативной, но оптимистичной оценке, Сербии потребуется около 10 лет для завершения Фаз 1 и 2 и достижения Вехи 3 (Готовность к строительству). Если национальное решение отсчитывается от 2025 года, это означает, что Первый Бетон может быть залит не ранее 2035 года.</w:t>
      </w:r>
    </w:p>
    <w:p w14:paraId="3AE3F60A" w14:textId="77777777" w:rsidR="00A7701B" w:rsidRPr="00000523" w:rsidRDefault="00000000" w:rsidP="00000523">
      <w:pPr>
        <w:pBdr>
          <w:top w:val="nil"/>
          <w:left w:val="nil"/>
          <w:bottom w:val="nil"/>
          <w:right w:val="nil"/>
          <w:between w:val="nil"/>
        </w:pBdr>
        <w:spacing w:after="120" w:line="275" w:lineRule="auto"/>
        <w:jc w:val="both"/>
        <w:rPr>
          <w:rFonts w:ascii="Calibri" w:eastAsia="Google Sans Text" w:hAnsi="Calibri" w:cs="Calibri"/>
          <w:color w:val="1B1C1D"/>
        </w:rPr>
      </w:pPr>
      <w:r w:rsidRPr="00000523">
        <w:rPr>
          <w:rFonts w:ascii="Calibri" w:eastAsia="Google Sans Text" w:hAnsi="Calibri" w:cs="Calibri"/>
          <w:color w:val="1B1C1D"/>
        </w:rPr>
        <w:t>При таком сценарии:</w:t>
      </w:r>
    </w:p>
    <w:p w14:paraId="5662AF9A" w14:textId="77777777" w:rsidR="00A7701B" w:rsidRPr="00000523" w:rsidRDefault="00000000" w:rsidP="00000523">
      <w:pPr>
        <w:numPr>
          <w:ilvl w:val="0"/>
          <w:numId w:val="3"/>
        </w:numPr>
        <w:pBdr>
          <w:top w:val="nil"/>
          <w:left w:val="nil"/>
          <w:bottom w:val="nil"/>
          <w:right w:val="nil"/>
          <w:between w:val="nil"/>
        </w:pBdr>
        <w:spacing w:line="275" w:lineRule="auto"/>
        <w:jc w:val="both"/>
        <w:rPr>
          <w:rFonts w:ascii="Calibri" w:hAnsi="Calibri" w:cs="Calibri"/>
        </w:rPr>
      </w:pPr>
      <w:r w:rsidRPr="00000523">
        <w:rPr>
          <w:rFonts w:ascii="Calibri" w:eastAsia="Google Sans Text" w:hAnsi="Calibri" w:cs="Calibri"/>
          <w:b/>
          <w:color w:val="1B1C1D"/>
        </w:rPr>
        <w:t>Крупномасштабные АЭС:</w:t>
      </w:r>
      <w:r w:rsidRPr="00000523">
        <w:rPr>
          <w:rFonts w:ascii="Calibri" w:eastAsia="Google Sans Text" w:hAnsi="Calibri" w:cs="Calibri"/>
          <w:color w:val="1B1C1D"/>
        </w:rPr>
        <w:t xml:space="preserve"> Самый быстрый путь, VVER-1200 (69 месяцев строительства), приведет к вводу в эксплуатацию не ранее 2041 года (15.75 лет). Надежный APR-1400 (84–97 месяцев) — не ранее 2042–2043 годов (17–18 лет).</w:t>
      </w:r>
    </w:p>
    <w:p w14:paraId="22F79C36" w14:textId="77777777" w:rsidR="00A7701B" w:rsidRPr="00000523" w:rsidRDefault="00000000" w:rsidP="00000523">
      <w:pPr>
        <w:numPr>
          <w:ilvl w:val="0"/>
          <w:numId w:val="3"/>
        </w:numPr>
        <w:pBdr>
          <w:top w:val="nil"/>
          <w:left w:val="nil"/>
          <w:bottom w:val="nil"/>
          <w:right w:val="nil"/>
          <w:between w:val="nil"/>
        </w:pBdr>
        <w:spacing w:after="120" w:line="275" w:lineRule="auto"/>
        <w:jc w:val="both"/>
        <w:rPr>
          <w:rFonts w:ascii="Calibri" w:hAnsi="Calibri" w:cs="Calibri"/>
        </w:rPr>
      </w:pPr>
      <w:r w:rsidRPr="00000523">
        <w:rPr>
          <w:rFonts w:ascii="Calibri" w:eastAsia="Google Sans Text" w:hAnsi="Calibri" w:cs="Calibri"/>
          <w:b/>
          <w:color w:val="1B1C1D"/>
        </w:rPr>
        <w:lastRenderedPageBreak/>
        <w:t>ММР:</w:t>
      </w:r>
      <w:r w:rsidRPr="00000523">
        <w:rPr>
          <w:rFonts w:ascii="Calibri" w:eastAsia="Google Sans Text" w:hAnsi="Calibri" w:cs="Calibri"/>
          <w:color w:val="1B1C1D"/>
        </w:rPr>
        <w:t xml:space="preserve"> Если удастся достичь целевого срока строительства NOAK (30–36 месяцев), ввод в эксплуатацию может начаться уже к 2037–2038 годам (12.5–13 лет).</w:t>
      </w:r>
    </w:p>
    <w:p w14:paraId="1030815D" w14:textId="77777777" w:rsidR="00A7701B" w:rsidRPr="00000523" w:rsidRDefault="00000000" w:rsidP="00000523">
      <w:pPr>
        <w:pBdr>
          <w:top w:val="nil"/>
          <w:left w:val="nil"/>
          <w:bottom w:val="nil"/>
          <w:right w:val="nil"/>
          <w:between w:val="nil"/>
        </w:pBdr>
        <w:spacing w:before="240" w:after="240" w:line="275" w:lineRule="auto"/>
        <w:jc w:val="both"/>
        <w:rPr>
          <w:rFonts w:ascii="Calibri" w:eastAsia="Google Sans Text" w:hAnsi="Calibri" w:cs="Calibri"/>
          <w:color w:val="1B1C1D"/>
        </w:rPr>
      </w:pPr>
      <w:r w:rsidRPr="00000523">
        <w:rPr>
          <w:rFonts w:ascii="Calibri" w:eastAsia="Google Sans Text" w:hAnsi="Calibri" w:cs="Calibri"/>
          <w:color w:val="1B1C1D"/>
        </w:rPr>
        <w:t>Эти расчеты подчеркивают, что не существует "быстрого" решения для Сербии. Любая задержка в Фазе 2 (развитие регуляторной базы) неизбежно сдвинет ввод мощностей за пределы 2040 года, что создает серьезные проблемы для выполнения плана по удовлетворению спроса к 2050 году. Единственный способ сократить общий график проекта — максимально ускорить Фазу 2, используя международный опыт (МАГАТЭ) и привлекая консультантов.</w:t>
      </w:r>
    </w:p>
    <w:p w14:paraId="2A6571BD"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19" w:name="_Toc210582181"/>
      <w:r w:rsidRPr="00000523">
        <w:rPr>
          <w:rFonts w:ascii="Calibri" w:eastAsia="Google Sans" w:hAnsi="Calibri" w:cs="Calibri"/>
          <w:color w:val="1B1C1D"/>
        </w:rPr>
        <w:t>5.2. Сравнительный анализ сроков строительства и ввода в эксплуатацию</w:t>
      </w:r>
      <w:bookmarkEnd w:id="19"/>
    </w:p>
    <w:p w14:paraId="12E372D9" w14:textId="77777777" w:rsidR="00A7701B" w:rsidRPr="00000523" w:rsidRDefault="00000000" w:rsidP="00000523">
      <w:pPr>
        <w:pBdr>
          <w:top w:val="nil"/>
          <w:left w:val="nil"/>
          <w:bottom w:val="nil"/>
          <w:right w:val="nil"/>
          <w:between w:val="nil"/>
        </w:pBdr>
        <w:spacing w:after="120" w:line="275" w:lineRule="auto"/>
        <w:jc w:val="both"/>
        <w:rPr>
          <w:rFonts w:ascii="Calibri" w:eastAsia="Google Sans Text" w:hAnsi="Calibri" w:cs="Calibri"/>
          <w:color w:val="1B1C1D"/>
        </w:rPr>
      </w:pPr>
      <w:r w:rsidRPr="00000523">
        <w:rPr>
          <w:rFonts w:ascii="Calibri" w:eastAsia="Google Sans Text" w:hAnsi="Calibri" w:cs="Calibri"/>
          <w:color w:val="1B1C1D"/>
        </w:rPr>
        <w:t>Выбор вендора влияет на сроки строительства следующим образом:</w:t>
      </w:r>
    </w:p>
    <w:p w14:paraId="3AB9A468" w14:textId="77777777" w:rsidR="00A7701B" w:rsidRPr="00000523" w:rsidRDefault="00000000" w:rsidP="00000523">
      <w:pPr>
        <w:numPr>
          <w:ilvl w:val="0"/>
          <w:numId w:val="4"/>
        </w:numPr>
        <w:pBdr>
          <w:top w:val="nil"/>
          <w:left w:val="nil"/>
          <w:bottom w:val="nil"/>
          <w:right w:val="nil"/>
          <w:between w:val="nil"/>
        </w:pBdr>
        <w:spacing w:line="275" w:lineRule="auto"/>
        <w:jc w:val="both"/>
        <w:rPr>
          <w:rFonts w:ascii="Calibri" w:hAnsi="Calibri" w:cs="Calibri"/>
        </w:rPr>
      </w:pPr>
      <w:r w:rsidRPr="00000523">
        <w:rPr>
          <w:rFonts w:ascii="Calibri" w:eastAsia="Google Sans Text" w:hAnsi="Calibri" w:cs="Calibri"/>
          <w:b/>
          <w:color w:val="1B1C1D"/>
        </w:rPr>
        <w:t>Надежность Восточных Вендоров:</w:t>
      </w:r>
      <w:r w:rsidRPr="00000523">
        <w:rPr>
          <w:rFonts w:ascii="Calibri" w:eastAsia="Google Sans Text" w:hAnsi="Calibri" w:cs="Calibri"/>
          <w:color w:val="1B1C1D"/>
        </w:rPr>
        <w:t xml:space="preserve"> Rosatom и KHNP предлагают наиболее реалистичные и краткие сроки строительства для крупномасштабных проектов Gen III+ (5.75–8 лет). Их опыт многосерийного строительства позволяет достигать экономии от масштаба и минимизировать задержки.</w:t>
      </w:r>
    </w:p>
    <w:p w14:paraId="7EE4FEBF" w14:textId="77777777" w:rsidR="00A7701B" w:rsidRPr="00000523" w:rsidRDefault="00000000" w:rsidP="00000523">
      <w:pPr>
        <w:numPr>
          <w:ilvl w:val="0"/>
          <w:numId w:val="4"/>
        </w:numPr>
        <w:pBdr>
          <w:top w:val="nil"/>
          <w:left w:val="nil"/>
          <w:bottom w:val="nil"/>
          <w:right w:val="nil"/>
          <w:between w:val="nil"/>
        </w:pBdr>
        <w:spacing w:line="275" w:lineRule="auto"/>
        <w:jc w:val="both"/>
        <w:rPr>
          <w:rFonts w:ascii="Calibri" w:hAnsi="Calibri" w:cs="Calibri"/>
        </w:rPr>
      </w:pPr>
      <w:r w:rsidRPr="00000523">
        <w:rPr>
          <w:rFonts w:ascii="Calibri" w:eastAsia="Google Sans Text" w:hAnsi="Calibri" w:cs="Calibri"/>
          <w:b/>
          <w:color w:val="1B1C1D"/>
        </w:rPr>
        <w:t>Риски Западных Вендоров:</w:t>
      </w:r>
      <w:r w:rsidRPr="00000523">
        <w:rPr>
          <w:rFonts w:ascii="Calibri" w:eastAsia="Google Sans Text" w:hAnsi="Calibri" w:cs="Calibri"/>
          <w:color w:val="1B1C1D"/>
        </w:rPr>
        <w:t xml:space="preserve"> Предложения от EDF и Westinghouse несут значительно более высокий риск проектной задержки, что, в свою очередь, может привести к катастрофическому росту стоимости финансирования, как это наблюдалось в европейских и американских проектах.</w:t>
      </w:r>
    </w:p>
    <w:p w14:paraId="320DE4D7" w14:textId="77777777" w:rsidR="00A7701B" w:rsidRPr="00000523" w:rsidRDefault="00000000" w:rsidP="00000523">
      <w:pPr>
        <w:numPr>
          <w:ilvl w:val="0"/>
          <w:numId w:val="4"/>
        </w:numPr>
        <w:pBdr>
          <w:top w:val="nil"/>
          <w:left w:val="nil"/>
          <w:bottom w:val="nil"/>
          <w:right w:val="nil"/>
          <w:between w:val="nil"/>
        </w:pBdr>
        <w:spacing w:after="120" w:line="275" w:lineRule="auto"/>
        <w:jc w:val="both"/>
        <w:rPr>
          <w:rFonts w:ascii="Calibri" w:hAnsi="Calibri" w:cs="Calibri"/>
        </w:rPr>
      </w:pPr>
      <w:r w:rsidRPr="00000523">
        <w:rPr>
          <w:rFonts w:ascii="Calibri" w:eastAsia="Google Sans Text" w:hAnsi="Calibri" w:cs="Calibri"/>
          <w:b/>
          <w:color w:val="1B1C1D"/>
        </w:rPr>
        <w:t>Преимущество ММР:</w:t>
      </w:r>
      <w:r w:rsidRPr="00000523">
        <w:rPr>
          <w:rFonts w:ascii="Calibri" w:eastAsia="Google Sans Text" w:hAnsi="Calibri" w:cs="Calibri"/>
          <w:color w:val="1B1C1D"/>
        </w:rPr>
        <w:t xml:space="preserve"> Если Сербия готова принять более высокую удельную капитальную стоимость FOAK ММР, ее общая проектная продолжительность сокращается на 3–5 лет по сравнению с крупной АЭС. Это сокращение является критически важной страховкой от рисков исполнения и задержек, характерных для крупных проектов.</w:t>
      </w:r>
    </w:p>
    <w:p w14:paraId="552A0865"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20" w:name="_Toc210582182"/>
      <w:r w:rsidRPr="00000523">
        <w:rPr>
          <w:rFonts w:ascii="Calibri" w:eastAsia="Google Sans" w:hAnsi="Calibri" w:cs="Calibri"/>
          <w:color w:val="1B1C1D"/>
        </w:rPr>
        <w:t>5.3. Обязательная таблица: Ожидаемая продолжительность этапов и вех по МАГАТЭ</w:t>
      </w:r>
      <w:bookmarkEnd w:id="20"/>
    </w:p>
    <w:p w14:paraId="7C70667C" w14:textId="0C23F876"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1B1C1D"/>
        </w:rPr>
      </w:pPr>
      <w:r w:rsidRPr="00000523">
        <w:rPr>
          <w:rFonts w:ascii="Calibri" w:eastAsia="Google Sans Text" w:hAnsi="Calibri" w:cs="Calibri"/>
          <w:color w:val="1B1C1D"/>
        </w:rPr>
        <w:t>Таблица 5.1. Сравнительный анализ сроков и вех проекта АЭС в Сербии по стандартам МАГАТЭ NG-G-3.1</w:t>
      </w:r>
    </w:p>
    <w:p w14:paraId="7F18A019" w14:textId="77777777" w:rsidR="00A7701B" w:rsidRPr="00000523" w:rsidRDefault="00A7701B" w:rsidP="00000523">
      <w:pPr>
        <w:pBdr>
          <w:top w:val="nil"/>
          <w:left w:val="nil"/>
          <w:bottom w:val="nil"/>
          <w:right w:val="nil"/>
          <w:between w:val="nil"/>
        </w:pBdr>
        <w:spacing w:line="275" w:lineRule="auto"/>
        <w:jc w:val="both"/>
        <w:rPr>
          <w:rFonts w:ascii="Calibri" w:eastAsia="Google Sans Text" w:hAnsi="Calibri" w:cs="Calibri"/>
          <w:color w:val="1B1C1D"/>
        </w:rPr>
      </w:pPr>
    </w:p>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A7701B" w:rsidRPr="00000523" w14:paraId="6BFAAEA6"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C2E56D"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Этап / Веха (МАГАТЭ NG-G-3.1)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E87AA9"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Ожидаемая Продолжительность Этапа (Годы)</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B68D2D"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Ожидаемое Наступление Вехи (Год Y, при Y=2025)</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529A6A"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Ключевые Действия Сербии</w:t>
            </w:r>
          </w:p>
        </w:tc>
      </w:tr>
      <w:tr w:rsidR="00A7701B" w:rsidRPr="00000523" w14:paraId="1DBE5B96"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0AF47E"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ФАЗА 1: Рассмотрение</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5245B0"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3–5</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484873"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Веха 1: Y+3 — Y+5 (Информированное решение о программе)</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1069F9"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Завершение ТЭО, определение национальной политики </w:t>
            </w:r>
            <w:r w:rsidRPr="00000523">
              <w:rPr>
                <w:rFonts w:ascii="Calibri" w:eastAsia="Google Sans Text" w:hAnsi="Calibri" w:cs="Calibri"/>
                <w:color w:val="575B5F"/>
                <w:sz w:val="24"/>
                <w:szCs w:val="24"/>
                <w:vertAlign w:val="superscript"/>
              </w:rPr>
              <w:t>2</w:t>
            </w:r>
          </w:p>
        </w:tc>
      </w:tr>
      <w:tr w:rsidR="00A7701B" w:rsidRPr="00000523" w14:paraId="4295C243"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CC5326"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lastRenderedPageBreak/>
              <w:t>ФАЗА 2: Подготовка</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9EA17B"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5–8</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A5F33B"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Веха 2: Y+8 — Y+13 (Готовность к тендеру и контракту)</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70E889"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Разработка законов, создание регулятора, выбор площадки </w:t>
            </w:r>
            <w:r w:rsidRPr="00000523">
              <w:rPr>
                <w:rFonts w:ascii="Calibri" w:eastAsia="Google Sans Text" w:hAnsi="Calibri" w:cs="Calibri"/>
                <w:color w:val="575B5F"/>
                <w:sz w:val="24"/>
                <w:szCs w:val="24"/>
                <w:vertAlign w:val="superscript"/>
              </w:rPr>
              <w:t>5</w:t>
            </w:r>
          </w:p>
        </w:tc>
      </w:tr>
      <w:tr w:rsidR="00A7701B" w:rsidRPr="00000523" w14:paraId="59EF6684"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4A4CCD"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ФАЗА 3: Строительство</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70FA62"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2–3</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427E5B"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Веха 3: Y+10 — Y+16 (Получение лицензии, Первый Бетон)</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F65388"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Финансовое закрытие, детальный дизайн</w:t>
            </w:r>
          </w:p>
        </w:tc>
      </w:tr>
      <w:tr w:rsidR="00A7701B" w:rsidRPr="00000523" w14:paraId="50B712F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3CB530"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Строительство (ВВЭР-1200, Оптимистичный сценарий)</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FFC71B"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5.75 (69 месяцев) </w:t>
            </w:r>
            <w:r w:rsidRPr="00000523">
              <w:rPr>
                <w:rFonts w:ascii="Calibri" w:eastAsia="Google Sans Text" w:hAnsi="Calibri" w:cs="Calibri"/>
                <w:color w:val="575B5F"/>
                <w:sz w:val="24"/>
                <w:szCs w:val="24"/>
                <w:vertAlign w:val="superscript"/>
              </w:rPr>
              <w:t>21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863A63"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 xml:space="preserve">Общий срок проекта: </w:t>
            </w:r>
            <w:r w:rsidRPr="00000523">
              <w:rPr>
                <w:rFonts w:ascii="Calibri" w:eastAsia="Google Sans Text" w:hAnsi="Calibri" w:cs="Calibri"/>
                <w:b/>
                <w:color w:val="1B1C1D"/>
              </w:rPr>
              <w:t>Y+15.75</w:t>
            </w:r>
            <w:r w:rsidRPr="00000523">
              <w:rPr>
                <w:rFonts w:ascii="Calibri" w:eastAsia="Google Sans Text" w:hAnsi="Calibri" w:cs="Calibri"/>
                <w:color w:val="1B1C1D"/>
              </w:rPr>
              <w:t xml:space="preserve"> (2041 г.)</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7AD12B"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Минимальный целевой срок для крупной АЭС</w:t>
            </w:r>
          </w:p>
        </w:tc>
      </w:tr>
      <w:tr w:rsidR="00A7701B" w:rsidRPr="00000523" w14:paraId="12EB3508"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609934"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Строительство (APR-1400, Доказанный сценарий)</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E22E32"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7–8 (84–97 месяцев) </w:t>
            </w:r>
            <w:r w:rsidRPr="00000523">
              <w:rPr>
                <w:rFonts w:ascii="Calibri" w:eastAsia="Google Sans Text" w:hAnsi="Calibri" w:cs="Calibri"/>
                <w:color w:val="575B5F"/>
                <w:sz w:val="24"/>
                <w:szCs w:val="24"/>
                <w:vertAlign w:val="superscript"/>
              </w:rPr>
              <w:t>20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12E086"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 xml:space="preserve">Общий срок проекта: </w:t>
            </w:r>
            <w:r w:rsidRPr="00000523">
              <w:rPr>
                <w:rFonts w:ascii="Calibri" w:eastAsia="Google Sans Text" w:hAnsi="Calibri" w:cs="Calibri"/>
                <w:b/>
                <w:color w:val="1B1C1D"/>
              </w:rPr>
              <w:t>Y+17 — Y+19</w:t>
            </w:r>
            <w:r w:rsidRPr="00000523">
              <w:rPr>
                <w:rFonts w:ascii="Calibri" w:eastAsia="Google Sans Text" w:hAnsi="Calibri" w:cs="Calibri"/>
                <w:color w:val="1B1C1D"/>
              </w:rPr>
              <w:t xml:space="preserve"> (2042–2044 гг.)</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3C3C8A"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Надежный срок на основе мирового опыта</w:t>
            </w:r>
          </w:p>
        </w:tc>
      </w:tr>
      <w:tr w:rsidR="00A7701B" w:rsidRPr="00000523" w14:paraId="32279E2A"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5E1E8A"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000523">
              <w:rPr>
                <w:rFonts w:ascii="Calibri" w:eastAsia="Google Sans Text" w:hAnsi="Calibri" w:cs="Calibri"/>
                <w:b/>
                <w:color w:val="1B1C1D"/>
              </w:rPr>
              <w:t>Строительство (ММР, NOAK, Первый Модуль)</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C67B8A" w14:textId="77777777" w:rsidR="00A7701B" w:rsidRPr="00000523" w:rsidRDefault="00000000" w:rsidP="00000523">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2.5–3 (30–36 месяцев) </w:t>
            </w:r>
            <w:r w:rsidRPr="00000523">
              <w:rPr>
                <w:rFonts w:ascii="Calibri" w:eastAsia="Google Sans Text" w:hAnsi="Calibri" w:cs="Calibri"/>
                <w:color w:val="575B5F"/>
                <w:sz w:val="24"/>
                <w:szCs w:val="24"/>
                <w:vertAlign w:val="superscript"/>
              </w:rPr>
              <w:t>30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7E03B9"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 xml:space="preserve">Общий срок проекта: </w:t>
            </w:r>
            <w:r w:rsidRPr="00000523">
              <w:rPr>
                <w:rFonts w:ascii="Calibri" w:eastAsia="Google Sans Text" w:hAnsi="Calibri" w:cs="Calibri"/>
                <w:b/>
                <w:color w:val="1B1C1D"/>
              </w:rPr>
              <w:t>Y+12.5 — Y+16</w:t>
            </w:r>
            <w:r w:rsidRPr="00000523">
              <w:rPr>
                <w:rFonts w:ascii="Calibri" w:eastAsia="Google Sans Text" w:hAnsi="Calibri" w:cs="Calibri"/>
                <w:color w:val="1B1C1D"/>
              </w:rPr>
              <w:t xml:space="preserve"> (2037–2041 гг.)</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619896" w14:textId="77777777" w:rsidR="00A7701B" w:rsidRPr="00000523" w:rsidRDefault="00000000" w:rsidP="00000523">
            <w:pPr>
              <w:pBdr>
                <w:top w:val="nil"/>
                <w:left w:val="nil"/>
                <w:bottom w:val="nil"/>
                <w:right w:val="nil"/>
                <w:between w:val="nil"/>
              </w:pBdr>
              <w:spacing w:before="120" w:after="120" w:line="275" w:lineRule="auto"/>
              <w:jc w:val="both"/>
              <w:rPr>
                <w:rFonts w:ascii="Calibri" w:eastAsia="Google Sans Text" w:hAnsi="Calibri" w:cs="Calibri"/>
                <w:color w:val="1B1C1D"/>
              </w:rPr>
            </w:pPr>
            <w:r w:rsidRPr="00000523">
              <w:rPr>
                <w:rFonts w:ascii="Calibri" w:eastAsia="Google Sans Text" w:hAnsi="Calibri" w:cs="Calibri"/>
                <w:color w:val="1B1C1D"/>
              </w:rPr>
              <w:t>Максимальное сокращение периода IDC</w:t>
            </w:r>
          </w:p>
        </w:tc>
      </w:tr>
    </w:tbl>
    <w:p w14:paraId="34EB8BC6" w14:textId="77777777" w:rsidR="00A7701B" w:rsidRPr="00000523" w:rsidRDefault="00A7701B" w:rsidP="00000523">
      <w:pPr>
        <w:pBdr>
          <w:top w:val="nil"/>
          <w:left w:val="nil"/>
          <w:bottom w:val="nil"/>
          <w:right w:val="nil"/>
          <w:between w:val="nil"/>
        </w:pBdr>
        <w:spacing w:after="240" w:line="275" w:lineRule="auto"/>
        <w:jc w:val="both"/>
        <w:rPr>
          <w:rFonts w:ascii="Calibri" w:eastAsia="Google Sans Text" w:hAnsi="Calibri" w:cs="Calibri"/>
          <w:color w:val="1B1C1D"/>
        </w:rPr>
      </w:pPr>
    </w:p>
    <w:p w14:paraId="4B5DEE97" w14:textId="77777777" w:rsidR="00A7701B" w:rsidRPr="00000523" w:rsidRDefault="00000000" w:rsidP="00000523">
      <w:pPr>
        <w:pStyle w:val="2"/>
        <w:spacing w:before="0" w:after="120" w:line="275" w:lineRule="auto"/>
        <w:jc w:val="both"/>
        <w:rPr>
          <w:rFonts w:ascii="Calibri" w:eastAsia="Google Sans" w:hAnsi="Calibri" w:cs="Calibri"/>
          <w:color w:val="1B1C1D"/>
        </w:rPr>
      </w:pPr>
      <w:bookmarkStart w:id="21" w:name="_Toc210582183"/>
      <w:r w:rsidRPr="00000523">
        <w:rPr>
          <w:rFonts w:ascii="Calibri" w:eastAsia="Google Sans" w:hAnsi="Calibri" w:cs="Calibri"/>
          <w:color w:val="1B1C1D"/>
        </w:rPr>
        <w:t>РАЗДЕЛ VI: ВЫВОДЫ И СТРАТЕГИЧЕСКИЕ РЕКОМЕНДАЦИИ</w:t>
      </w:r>
      <w:bookmarkEnd w:id="21"/>
    </w:p>
    <w:p w14:paraId="1CDF7F82"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22" w:name="_Toc210582184"/>
      <w:r w:rsidRPr="00000523">
        <w:rPr>
          <w:rFonts w:ascii="Calibri" w:eastAsia="Google Sans" w:hAnsi="Calibri" w:cs="Calibri"/>
          <w:color w:val="1B1C1D"/>
        </w:rPr>
        <w:t>6.1. Синтез стратегического выбора технологии</w:t>
      </w:r>
      <w:bookmarkEnd w:id="22"/>
    </w:p>
    <w:p w14:paraId="29D618F8"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1B1C1D"/>
        </w:rPr>
      </w:pPr>
      <w:r w:rsidRPr="00000523">
        <w:rPr>
          <w:rFonts w:ascii="Calibri" w:eastAsia="Google Sans Text" w:hAnsi="Calibri" w:cs="Calibri"/>
          <w:color w:val="1B1C1D"/>
        </w:rPr>
        <w:t>Анализ показывает, что стратегический выбор Сербии определяется сложным компромиссом между геополитической приемлемостью, финансовой стоимостью и риском исполнения проекта.</w:t>
      </w:r>
    </w:p>
    <w:p w14:paraId="1588B1F8"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 xml:space="preserve">Если Сербия приоритезирует </w:t>
      </w:r>
      <w:r w:rsidRPr="00000523">
        <w:rPr>
          <w:rFonts w:ascii="Calibri" w:eastAsia="Google Sans Text" w:hAnsi="Calibri" w:cs="Calibri"/>
          <w:b/>
          <w:color w:val="1B1C1D"/>
        </w:rPr>
        <w:t>минимизацию финансового риска и надежность сроков исполнения</w:t>
      </w:r>
      <w:r w:rsidRPr="00000523">
        <w:rPr>
          <w:rFonts w:ascii="Calibri" w:eastAsia="Google Sans Text" w:hAnsi="Calibri" w:cs="Calibri"/>
          <w:color w:val="1B1C1D"/>
        </w:rPr>
        <w:t xml:space="preserve"> для крупномасштабного проекта, KHNP с реактором APR-1400 является наиболее оптимальным выбором. KHNP сочетает одну из самых низких удельных капитальных стоимостей (около $2,157/кВт) с проверенным, относительно коротким (7–8 лет) опытом экспортной реализации, что минимизирует как финансовые, так и политические риски, связанные с европейской интеграцией.</w:t>
      </w:r>
      <w:r w:rsidRPr="00000523">
        <w:rPr>
          <w:rFonts w:ascii="Calibri" w:eastAsia="Google Sans Text" w:hAnsi="Calibri" w:cs="Calibri"/>
          <w:color w:val="575B5F"/>
          <w:sz w:val="24"/>
          <w:szCs w:val="24"/>
          <w:vertAlign w:val="superscript"/>
        </w:rPr>
        <w:t>11</w:t>
      </w:r>
    </w:p>
    <w:p w14:paraId="382042B2"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1B1C1D"/>
        </w:rPr>
      </w:pPr>
      <w:r w:rsidRPr="00000523">
        <w:rPr>
          <w:rFonts w:ascii="Calibri" w:eastAsia="Google Sans Text" w:hAnsi="Calibri" w:cs="Calibri"/>
          <w:color w:val="1B1C1D"/>
        </w:rPr>
        <w:t xml:space="preserve">Если приоритет отдается </w:t>
      </w:r>
      <w:r w:rsidRPr="00000523">
        <w:rPr>
          <w:rFonts w:ascii="Calibri" w:eastAsia="Google Sans Text" w:hAnsi="Calibri" w:cs="Calibri"/>
          <w:b/>
          <w:color w:val="1B1C1D"/>
        </w:rPr>
        <w:t>минимальной стоимости капитала</w:t>
      </w:r>
      <w:r w:rsidRPr="00000523">
        <w:rPr>
          <w:rFonts w:ascii="Calibri" w:eastAsia="Google Sans Text" w:hAnsi="Calibri" w:cs="Calibri"/>
          <w:color w:val="1B1C1D"/>
        </w:rPr>
        <w:t xml:space="preserve">, предложение "Росатома" (ВВЭР-1200) является экономически непревзойденным благодаря льготному государственному </w:t>
      </w:r>
      <w:r w:rsidRPr="00000523">
        <w:rPr>
          <w:rFonts w:ascii="Calibri" w:eastAsia="Google Sans Text" w:hAnsi="Calibri" w:cs="Calibri"/>
          <w:color w:val="1B1C1D"/>
        </w:rPr>
        <w:lastRenderedPageBreak/>
        <w:t>финансированию и низким показателям Overnight Cost.</w:t>
      </w:r>
      <w:r w:rsidRPr="00000523">
        <w:rPr>
          <w:rFonts w:ascii="Calibri" w:eastAsia="Google Sans Text" w:hAnsi="Calibri" w:cs="Calibri"/>
          <w:color w:val="575B5F"/>
          <w:sz w:val="24"/>
          <w:szCs w:val="24"/>
          <w:vertAlign w:val="superscript"/>
        </w:rPr>
        <w:t>1</w:t>
      </w:r>
      <w:r w:rsidRPr="00000523">
        <w:rPr>
          <w:rFonts w:ascii="Calibri" w:eastAsia="Google Sans Text" w:hAnsi="Calibri" w:cs="Calibri"/>
          <w:color w:val="1B1C1D"/>
        </w:rPr>
        <w:t xml:space="preserve"> Выбор России, однако, требует разработки четкой стратегии по смягчению потенциального конфликта с требованиями ЕС о согласовании внешней политики.</w:t>
      </w:r>
    </w:p>
    <w:p w14:paraId="48AB8B11" w14:textId="77777777" w:rsidR="00A7701B" w:rsidRPr="00000523" w:rsidRDefault="00000000" w:rsidP="0000052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000523">
        <w:rPr>
          <w:rFonts w:ascii="Calibri" w:eastAsia="Google Sans Text" w:hAnsi="Calibri" w:cs="Calibri"/>
          <w:color w:val="1B1C1D"/>
        </w:rPr>
        <w:t>Западные предложения от EDF и Westinghouse, несмотря на их политическую привлекательность для ЕС, несут максимальный риск задержек и перерасхода средств. Их высокие оценочные стоимости (например, $8,300–$10,375/кВт для AP1000 NOAK) делают их неконкурентоспособными без массированной государственной субсидии или кредитных гарантий от США/ЕС.</w:t>
      </w:r>
      <w:r w:rsidRPr="00000523">
        <w:rPr>
          <w:rFonts w:ascii="Calibri" w:eastAsia="Google Sans Text" w:hAnsi="Calibri" w:cs="Calibri"/>
          <w:color w:val="575B5F"/>
          <w:sz w:val="24"/>
          <w:szCs w:val="24"/>
          <w:vertAlign w:val="superscript"/>
        </w:rPr>
        <w:t>24</w:t>
      </w:r>
    </w:p>
    <w:p w14:paraId="246301BF" w14:textId="77777777" w:rsidR="00A7701B" w:rsidRPr="00000523" w:rsidRDefault="00000000" w:rsidP="00000523">
      <w:pPr>
        <w:pStyle w:val="3"/>
        <w:spacing w:before="0" w:after="120" w:line="275" w:lineRule="auto"/>
        <w:jc w:val="both"/>
        <w:rPr>
          <w:rFonts w:ascii="Calibri" w:eastAsia="Google Sans" w:hAnsi="Calibri" w:cs="Calibri"/>
          <w:color w:val="1B1C1D"/>
        </w:rPr>
      </w:pPr>
      <w:bookmarkStart w:id="23" w:name="_Toc210582185"/>
      <w:r w:rsidRPr="00000523">
        <w:rPr>
          <w:rFonts w:ascii="Calibri" w:eastAsia="Google Sans" w:hAnsi="Calibri" w:cs="Calibri"/>
          <w:color w:val="1B1C1D"/>
        </w:rPr>
        <w:t>6.2. Рекомендации по ускорению программы и управлению рисками</w:t>
      </w:r>
      <w:bookmarkEnd w:id="23"/>
    </w:p>
    <w:p w14:paraId="0442BE0C" w14:textId="77777777" w:rsidR="00A7701B" w:rsidRPr="00000523" w:rsidRDefault="00000000" w:rsidP="00000523">
      <w:pPr>
        <w:pBdr>
          <w:top w:val="nil"/>
          <w:left w:val="nil"/>
          <w:bottom w:val="nil"/>
          <w:right w:val="nil"/>
          <w:between w:val="nil"/>
        </w:pBdr>
        <w:spacing w:after="120" w:line="275" w:lineRule="auto"/>
        <w:jc w:val="both"/>
        <w:rPr>
          <w:rFonts w:ascii="Calibri" w:eastAsia="Google Sans Text" w:hAnsi="Calibri" w:cs="Calibri"/>
          <w:color w:val="1B1C1D"/>
        </w:rPr>
      </w:pPr>
      <w:r w:rsidRPr="00000523">
        <w:rPr>
          <w:rFonts w:ascii="Calibri" w:eastAsia="Google Sans Text" w:hAnsi="Calibri" w:cs="Calibri"/>
          <w:color w:val="1B1C1D"/>
        </w:rPr>
        <w:t>Для успешной реализации ядерной программы Сербия должна принять гибридную стратегию, направленную на ускорение Фазы 2 МАГАТЭ и диверсификацию технологий для управления рисками:</w:t>
      </w:r>
    </w:p>
    <w:p w14:paraId="0F81823E" w14:textId="77777777" w:rsidR="00A7701B" w:rsidRPr="00000523" w:rsidRDefault="00000000" w:rsidP="00000523">
      <w:pPr>
        <w:numPr>
          <w:ilvl w:val="0"/>
          <w:numId w:val="5"/>
        </w:numPr>
        <w:pBdr>
          <w:top w:val="nil"/>
          <w:left w:val="nil"/>
          <w:bottom w:val="nil"/>
          <w:right w:val="nil"/>
          <w:between w:val="nil"/>
        </w:pBdr>
        <w:spacing w:line="275" w:lineRule="auto"/>
        <w:jc w:val="both"/>
        <w:rPr>
          <w:rFonts w:ascii="Calibri" w:hAnsi="Calibri" w:cs="Calibri"/>
        </w:rPr>
      </w:pPr>
      <w:r w:rsidRPr="00000523">
        <w:rPr>
          <w:rFonts w:ascii="Calibri" w:eastAsia="Google Sans Text" w:hAnsi="Calibri" w:cs="Calibri"/>
          <w:b/>
          <w:color w:val="1B1C1D"/>
        </w:rPr>
        <w:t>Максимальное Ускорение Инфраструктуры:</w:t>
      </w:r>
      <w:r w:rsidRPr="00000523">
        <w:rPr>
          <w:rFonts w:ascii="Calibri" w:eastAsia="Google Sans Text" w:hAnsi="Calibri" w:cs="Calibri"/>
          <w:color w:val="1B1C1D"/>
        </w:rPr>
        <w:t xml:space="preserve"> Сербия должна активно сотрудничать с МАГАТЭ, проводя миссии INIR (Integrated Nuclear Infrastructure Review), и использовать внешних консультантов (например, EDF) для параллельной разработки регуляторной и законодательной базы.</w:t>
      </w:r>
      <w:r w:rsidRPr="00000523">
        <w:rPr>
          <w:rFonts w:ascii="Calibri" w:eastAsia="Google Sans Text" w:hAnsi="Calibri" w:cs="Calibri"/>
          <w:color w:val="575B5F"/>
          <w:sz w:val="24"/>
          <w:szCs w:val="24"/>
          <w:vertAlign w:val="superscript"/>
        </w:rPr>
        <w:t>16</w:t>
      </w:r>
      <w:r w:rsidRPr="00000523">
        <w:rPr>
          <w:rFonts w:ascii="Calibri" w:eastAsia="Google Sans Text" w:hAnsi="Calibri" w:cs="Calibri"/>
          <w:color w:val="1B1C1D"/>
        </w:rPr>
        <w:t xml:space="preserve"> Только сокращение Фаз 1–2 до минимального порога (8–10 лет) позволит ввести крупные мощности до 2040 года.</w:t>
      </w:r>
    </w:p>
    <w:p w14:paraId="766E3A9E" w14:textId="77777777" w:rsidR="00A7701B" w:rsidRPr="00000523" w:rsidRDefault="00000000" w:rsidP="00000523">
      <w:pPr>
        <w:numPr>
          <w:ilvl w:val="0"/>
          <w:numId w:val="5"/>
        </w:numPr>
        <w:pBdr>
          <w:top w:val="nil"/>
          <w:left w:val="nil"/>
          <w:bottom w:val="nil"/>
          <w:right w:val="nil"/>
          <w:between w:val="nil"/>
        </w:pBdr>
        <w:spacing w:line="275" w:lineRule="auto"/>
        <w:jc w:val="both"/>
        <w:rPr>
          <w:rFonts w:ascii="Calibri" w:hAnsi="Calibri" w:cs="Calibri"/>
        </w:rPr>
      </w:pPr>
      <w:r w:rsidRPr="00000523">
        <w:rPr>
          <w:rFonts w:ascii="Calibri" w:eastAsia="Google Sans Text" w:hAnsi="Calibri" w:cs="Calibri"/>
          <w:b/>
          <w:color w:val="1B1C1D"/>
        </w:rPr>
        <w:t>Стратегическое Использование ММР:</w:t>
      </w:r>
      <w:r w:rsidRPr="00000523">
        <w:rPr>
          <w:rFonts w:ascii="Calibri" w:eastAsia="Google Sans Text" w:hAnsi="Calibri" w:cs="Calibri"/>
          <w:color w:val="1B1C1D"/>
        </w:rPr>
        <w:t xml:space="preserve"> Рассмотрение ММР должно быть приоритетом, поскольку их короткие сроки строительства (30–36 месяцев) позволяют ввести первые мощности раньше (Y+12–16) и начать генерировать доход, компенсируя более высокую удельную капитальную стоимость FOAK-проектов.</w:t>
      </w:r>
      <w:r w:rsidRPr="00000523">
        <w:rPr>
          <w:rFonts w:ascii="Calibri" w:eastAsia="Google Sans Text" w:hAnsi="Calibri" w:cs="Calibri"/>
          <w:color w:val="575B5F"/>
          <w:sz w:val="24"/>
          <w:szCs w:val="24"/>
          <w:vertAlign w:val="superscript"/>
        </w:rPr>
        <w:t>29</w:t>
      </w:r>
      <w:r w:rsidRPr="00000523">
        <w:rPr>
          <w:rFonts w:ascii="Calibri" w:eastAsia="Google Sans Text" w:hAnsi="Calibri" w:cs="Calibri"/>
          <w:color w:val="1B1C1D"/>
        </w:rPr>
        <w:t xml:space="preserve"> ММР обеспечивают эффективную «финансовую страховку» против катастрофических задержек, присущих крупным проектам.</w:t>
      </w:r>
    </w:p>
    <w:p w14:paraId="7DCBC524" w14:textId="77777777" w:rsidR="00A7701B" w:rsidRPr="00000523" w:rsidRDefault="00000000" w:rsidP="00000523">
      <w:pPr>
        <w:numPr>
          <w:ilvl w:val="0"/>
          <w:numId w:val="5"/>
        </w:numPr>
        <w:pBdr>
          <w:top w:val="nil"/>
          <w:left w:val="nil"/>
          <w:bottom w:val="nil"/>
          <w:right w:val="nil"/>
          <w:between w:val="nil"/>
        </w:pBdr>
        <w:spacing w:after="120" w:line="275" w:lineRule="auto"/>
        <w:jc w:val="both"/>
        <w:rPr>
          <w:rFonts w:ascii="Calibri" w:hAnsi="Calibri" w:cs="Calibri"/>
        </w:rPr>
      </w:pPr>
      <w:r w:rsidRPr="00000523">
        <w:rPr>
          <w:rFonts w:ascii="Calibri" w:eastAsia="Google Sans Text" w:hAnsi="Calibri" w:cs="Calibri"/>
          <w:b/>
          <w:color w:val="1B1C1D"/>
        </w:rPr>
        <w:t>Обеспечение Финансирования:</w:t>
      </w:r>
      <w:r w:rsidRPr="00000523">
        <w:rPr>
          <w:rFonts w:ascii="Calibri" w:eastAsia="Google Sans Text" w:hAnsi="Calibri" w:cs="Calibri"/>
          <w:color w:val="1B1C1D"/>
        </w:rPr>
        <w:t xml:space="preserve"> Независимо от выбора вендора, Сербия должна обеспечить государственные гарантии или долгосрочные контракты на покупку электроэнергии (PPA), чтобы снизить риски для кредиторов и, соответственно, Cost of Capital. Это является обязательным условием для обеспечения конкурентоспособности LCOE любого нового ядерного проекта.</w:t>
      </w:r>
      <w:r w:rsidRPr="00000523">
        <w:rPr>
          <w:rFonts w:ascii="Calibri" w:eastAsia="Google Sans Text" w:hAnsi="Calibri" w:cs="Calibri"/>
          <w:color w:val="575B5F"/>
          <w:sz w:val="24"/>
          <w:szCs w:val="24"/>
          <w:vertAlign w:val="superscript"/>
        </w:rPr>
        <w:t>11</w:t>
      </w:r>
    </w:p>
    <w:p w14:paraId="0D56FF20" w14:textId="77777777" w:rsidR="00A7701B" w:rsidRPr="00000523" w:rsidRDefault="00000000" w:rsidP="00000523">
      <w:pPr>
        <w:pStyle w:val="4"/>
        <w:jc w:val="both"/>
        <w:rPr>
          <w:rFonts w:ascii="Calibri" w:eastAsia="Google Sans" w:hAnsi="Calibri" w:cs="Calibri"/>
        </w:rPr>
      </w:pPr>
      <w:r w:rsidRPr="00000523">
        <w:rPr>
          <w:rFonts w:ascii="Calibri" w:eastAsia="Google Sans" w:hAnsi="Calibri" w:cs="Calibri"/>
        </w:rPr>
        <w:t>Источники</w:t>
      </w:r>
    </w:p>
    <w:p w14:paraId="5D862AA4"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Serbia in talks with Russia on nuclear power plant construction - bne IntelliNews, дата последнего обращения: сентября 29, 2025, </w:t>
      </w:r>
      <w:hyperlink r:id="rId7">
        <w:r w:rsidR="00A7701B" w:rsidRPr="00000523">
          <w:rPr>
            <w:rFonts w:ascii="Calibri" w:eastAsia="Google Sans" w:hAnsi="Calibri" w:cs="Calibri"/>
            <w:color w:val="0000EE"/>
            <w:sz w:val="24"/>
            <w:szCs w:val="24"/>
            <w:u w:val="single"/>
          </w:rPr>
          <w:t>https://www.intellinews.com/serbia-in-talks-with-russia-on-nuclear-power-plant-construction-401696/</w:t>
        </w:r>
      </w:hyperlink>
    </w:p>
    <w:p w14:paraId="7F1EC25F"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Serbia in talks with Russia to build its first nuclear power plant - EUalive, дата последнего обращения: сентября 29, 2025, </w:t>
      </w:r>
      <w:hyperlink r:id="rId8">
        <w:r w:rsidR="00A7701B" w:rsidRPr="00000523">
          <w:rPr>
            <w:rFonts w:ascii="Calibri" w:eastAsia="Google Sans" w:hAnsi="Calibri" w:cs="Calibri"/>
            <w:color w:val="0000EE"/>
            <w:sz w:val="24"/>
            <w:szCs w:val="24"/>
            <w:u w:val="single"/>
          </w:rPr>
          <w:t>https://eualive.net/serbia-in-talks-with-russia-to-build-its-first-nuclear-power-plant/</w:t>
        </w:r>
      </w:hyperlink>
    </w:p>
    <w:p w14:paraId="5A13ACD2"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Moscow, Belgrade Discuss Building Serbia's First Nuclear Power Plant, дата последнего обращения: сентября 29, 2025, </w:t>
      </w:r>
      <w:hyperlink r:id="rId9">
        <w:r w:rsidR="00A7701B" w:rsidRPr="00000523">
          <w:rPr>
            <w:rFonts w:ascii="Calibri" w:eastAsia="Google Sans" w:hAnsi="Calibri" w:cs="Calibri"/>
            <w:color w:val="0000EE"/>
            <w:sz w:val="24"/>
            <w:szCs w:val="24"/>
            <w:u w:val="single"/>
          </w:rPr>
          <w:t>https://russiaspivottoasia.com/moscow-belgrade-discuss-building-serbias-first-nuclear-power-plant/</w:t>
        </w:r>
      </w:hyperlink>
    </w:p>
    <w:p w14:paraId="3FD9ED4C"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Serbia negotiating with Russia about construction of nuclear power plant - eKapija, дата </w:t>
      </w:r>
      <w:r w:rsidRPr="00000523">
        <w:rPr>
          <w:rFonts w:ascii="Calibri" w:eastAsia="Google Sans" w:hAnsi="Calibri" w:cs="Calibri"/>
          <w:sz w:val="24"/>
          <w:szCs w:val="24"/>
        </w:rPr>
        <w:lastRenderedPageBreak/>
        <w:t xml:space="preserve">последнего обращения: сентября 29, 2025, </w:t>
      </w:r>
      <w:hyperlink r:id="rId10">
        <w:r w:rsidR="00A7701B" w:rsidRPr="00000523">
          <w:rPr>
            <w:rFonts w:ascii="Calibri" w:eastAsia="Google Sans" w:hAnsi="Calibri" w:cs="Calibri"/>
            <w:color w:val="0000EE"/>
            <w:sz w:val="24"/>
            <w:szCs w:val="24"/>
            <w:u w:val="single"/>
          </w:rPr>
          <w:t>https://www.ekapija.com/en/news/5293155/serbia-negotiating-with-russia-about-construction-of-nuclear-power-plant</w:t>
        </w:r>
      </w:hyperlink>
    </w:p>
    <w:p w14:paraId="267163DD"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Milestones in the Development of a National Nuclear Power Infrastructure - IFNEC, дата последнего обращения: сентября 29, 2025, </w:t>
      </w:r>
      <w:hyperlink r:id="rId11">
        <w:r w:rsidR="00A7701B" w:rsidRPr="00000523">
          <w:rPr>
            <w:rFonts w:ascii="Calibri" w:eastAsia="Google Sans" w:hAnsi="Calibri" w:cs="Calibri"/>
            <w:color w:val="0000EE"/>
            <w:sz w:val="24"/>
            <w:szCs w:val="24"/>
            <w:u w:val="single"/>
          </w:rPr>
          <w:t>https://www.ifnec.org/ifnec/upload/docs/application/pdf/2019-01/9.m.vansickle_iaea_services_for_owner-operators_in_emerging_states.pdf</w:t>
        </w:r>
      </w:hyperlink>
    </w:p>
    <w:p w14:paraId="6710D44C"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Serbia, South Korea's KHNP to cooperate on nuclear energy, hydrogen, дата последнего обращения: сентября 29, 2025, </w:t>
      </w:r>
      <w:hyperlink r:id="rId12">
        <w:r w:rsidR="00A7701B" w:rsidRPr="00000523">
          <w:rPr>
            <w:rFonts w:ascii="Calibri" w:eastAsia="Google Sans" w:hAnsi="Calibri" w:cs="Calibri"/>
            <w:color w:val="0000EE"/>
            <w:sz w:val="24"/>
            <w:szCs w:val="24"/>
            <w:u w:val="single"/>
          </w:rPr>
          <w:t>https://balkangreenenergynews.com/serbia-south-koreas-khnp-to-cooperate-on-nuclear-energy-hydrogen/</w:t>
        </w:r>
      </w:hyperlink>
    </w:p>
    <w:p w14:paraId="0BAD5E99"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Nuclear facility: Russia and Serbia have begun negotiations on construction of nuclear power plant - Apa.az, дата последнего обращения: сентября 29, 2025, </w:t>
      </w:r>
      <w:hyperlink r:id="rId13">
        <w:r w:rsidR="00A7701B" w:rsidRPr="00000523">
          <w:rPr>
            <w:rFonts w:ascii="Calibri" w:eastAsia="Google Sans" w:hAnsi="Calibri" w:cs="Calibri"/>
            <w:color w:val="0000EE"/>
            <w:sz w:val="24"/>
            <w:szCs w:val="24"/>
            <w:u w:val="single"/>
          </w:rPr>
          <w:t>https://en.apa.az/cis-countries/nuclear-facility-russia-and-serbia-have-begun-negotiations-on-construction-of-nuclear-power-plant-477976</w:t>
        </w:r>
      </w:hyperlink>
    </w:p>
    <w:p w14:paraId="1512D825"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APR-1400 - Wikipedia, дата последнего обращения: сентября 29, 2025, </w:t>
      </w:r>
      <w:hyperlink r:id="rId14">
        <w:r w:rsidR="00A7701B" w:rsidRPr="00000523">
          <w:rPr>
            <w:rFonts w:ascii="Calibri" w:eastAsia="Google Sans" w:hAnsi="Calibri" w:cs="Calibri"/>
            <w:color w:val="0000EE"/>
            <w:sz w:val="24"/>
            <w:szCs w:val="24"/>
            <w:u w:val="single"/>
          </w:rPr>
          <w:t>https://en.wikipedia.org/wiki/APR-1400</w:t>
        </w:r>
      </w:hyperlink>
    </w:p>
    <w:p w14:paraId="0EFABEA3"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Serbia's Nuclear Energy Quest Opens Geopolitical Flash Point For China, Russia, And The West, дата последнего обращения: сентября 29, 2025, </w:t>
      </w:r>
      <w:hyperlink r:id="rId15">
        <w:r w:rsidR="00A7701B" w:rsidRPr="00000523">
          <w:rPr>
            <w:rFonts w:ascii="Calibri" w:eastAsia="Google Sans" w:hAnsi="Calibri" w:cs="Calibri"/>
            <w:color w:val="0000EE"/>
            <w:sz w:val="24"/>
            <w:szCs w:val="24"/>
            <w:u w:val="single"/>
          </w:rPr>
          <w:t>https://www.rferl.org/a/serbia-nuclear-energy-hungary-china-rosatom-paks/33029040.html</w:t>
        </w:r>
      </w:hyperlink>
    </w:p>
    <w:p w14:paraId="447039B9"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EU sanctions against Russia: alignment of the EU enlargement countries - European Parliament, дата последнего обращения: сентября 29, 2025, </w:t>
      </w:r>
      <w:hyperlink r:id="rId16">
        <w:r w:rsidR="00A7701B" w:rsidRPr="00000523">
          <w:rPr>
            <w:rFonts w:ascii="Calibri" w:eastAsia="Google Sans" w:hAnsi="Calibri" w:cs="Calibri"/>
            <w:color w:val="0000EE"/>
            <w:sz w:val="24"/>
            <w:szCs w:val="24"/>
            <w:u w:val="single"/>
          </w:rPr>
          <w:t>https://www.europarl.europa.eu/RegData/etudes/IDAN/2022/639327/EXPO_IDA(2022)639327_EN.pdf</w:t>
        </w:r>
      </w:hyperlink>
    </w:p>
    <w:p w14:paraId="20634520"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Beyond the Contract: What Kazakhstan's Rosatom Deal Says About Its Foreign Policy Balancing Act, дата последнего обращения: сентября 29, 2025, </w:t>
      </w:r>
      <w:hyperlink r:id="rId17">
        <w:r w:rsidR="00A7701B" w:rsidRPr="00000523">
          <w:rPr>
            <w:rFonts w:ascii="Calibri" w:eastAsia="Google Sans" w:hAnsi="Calibri" w:cs="Calibri"/>
            <w:color w:val="0000EE"/>
            <w:sz w:val="24"/>
            <w:szCs w:val="24"/>
            <w:u w:val="single"/>
          </w:rPr>
          <w:t>https://caspianpolicy.org/research/energy/beyond-the-contract-what-kazakhstans-rosatom-deal-says-about-its-foreign-policy-balancing-act</w:t>
        </w:r>
      </w:hyperlink>
    </w:p>
    <w:p w14:paraId="1B5FAB14"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New nuclear financing models need to be developed, says Putin, дата последнего обращения: сентября 29, 2025, </w:t>
      </w:r>
      <w:hyperlink r:id="rId18">
        <w:r w:rsidR="00A7701B" w:rsidRPr="00000523">
          <w:rPr>
            <w:rFonts w:ascii="Calibri" w:eastAsia="Google Sans" w:hAnsi="Calibri" w:cs="Calibri"/>
            <w:color w:val="0000EE"/>
            <w:sz w:val="24"/>
            <w:szCs w:val="24"/>
            <w:u w:val="single"/>
          </w:rPr>
          <w:t>https://world-nuclear-news.org/articles/putin-says-new-financing-models-need-to-be-developed-for-nuclear</w:t>
        </w:r>
      </w:hyperlink>
    </w:p>
    <w:p w14:paraId="4032D88F"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Financing Nuclear Energy, дата последнего обращения: сентября 29, 2025, </w:t>
      </w:r>
      <w:hyperlink r:id="rId19">
        <w:r w:rsidR="00A7701B" w:rsidRPr="00000523">
          <w:rPr>
            <w:rFonts w:ascii="Calibri" w:eastAsia="Google Sans" w:hAnsi="Calibri" w:cs="Calibri"/>
            <w:color w:val="0000EE"/>
            <w:sz w:val="24"/>
            <w:szCs w:val="24"/>
            <w:u w:val="single"/>
          </w:rPr>
          <w:t>https://world-nuclear.org/information-library/economic-aspects/financing-nuclear-energy</w:t>
        </w:r>
      </w:hyperlink>
    </w:p>
    <w:p w14:paraId="79AACBEC"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The Financing of Nuclear Power Plants, дата последнего обращения: сентября 29, 2025, </w:t>
      </w:r>
      <w:hyperlink r:id="rId20">
        <w:r w:rsidR="00A7701B" w:rsidRPr="00000523">
          <w:rPr>
            <w:rFonts w:ascii="Calibri" w:eastAsia="Google Sans" w:hAnsi="Calibri" w:cs="Calibri"/>
            <w:color w:val="0000EE"/>
            <w:sz w:val="24"/>
            <w:szCs w:val="24"/>
            <w:u w:val="single"/>
          </w:rPr>
          <w:t>https://www.oecd-nea.org/upload/docs/application/pdf/2019-12/financing-plants.pdf</w:t>
        </w:r>
      </w:hyperlink>
    </w:p>
    <w:p w14:paraId="285E251B"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Workforce planning for new nuclear power programmes - IAEA publications, дата последнего обращения: сентября 29, 2025, </w:t>
      </w:r>
      <w:hyperlink r:id="rId21">
        <w:r w:rsidR="00A7701B" w:rsidRPr="00000523">
          <w:rPr>
            <w:rFonts w:ascii="Calibri" w:eastAsia="Google Sans" w:hAnsi="Calibri" w:cs="Calibri"/>
            <w:color w:val="0000EE"/>
            <w:sz w:val="24"/>
            <w:szCs w:val="24"/>
            <w:u w:val="single"/>
          </w:rPr>
          <w:t>https://www-pub.iaea.org/MTCD/Publications/PDF/Pub1477_web.pdf</w:t>
        </w:r>
      </w:hyperlink>
    </w:p>
    <w:p w14:paraId="3EC246C3"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IAEA Nuclear Energy Series Specific Considerations and Milestones for a Research Reactor Project - IAEA Publications, дата последнего обращения: сентября 29, 2025, </w:t>
      </w:r>
      <w:hyperlink r:id="rId22">
        <w:r w:rsidR="00A7701B" w:rsidRPr="00000523">
          <w:rPr>
            <w:rFonts w:ascii="Calibri" w:eastAsia="Google Sans" w:hAnsi="Calibri" w:cs="Calibri"/>
            <w:color w:val="0000EE"/>
            <w:sz w:val="24"/>
            <w:szCs w:val="24"/>
            <w:u w:val="single"/>
          </w:rPr>
          <w:t>https://www-pub.iaea.org/MTCD/Publications/PDF/Pub1549_web.pdf</w:t>
        </w:r>
      </w:hyperlink>
    </w:p>
    <w:p w14:paraId="3E218B65"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IAEA's updated Milestones for nuclear-curious nations include a focus on SMRs, дата последнего обращения: сентября 29, 2025, </w:t>
      </w:r>
      <w:hyperlink r:id="rId23">
        <w:r w:rsidR="00A7701B" w:rsidRPr="00000523">
          <w:rPr>
            <w:rFonts w:ascii="Calibri" w:eastAsia="Google Sans" w:hAnsi="Calibri" w:cs="Calibri"/>
            <w:color w:val="0000EE"/>
            <w:sz w:val="24"/>
            <w:szCs w:val="24"/>
            <w:u w:val="single"/>
          </w:rPr>
          <w:t>https://www.ans.org/news/article-6292/iaeas-updated-milestones-for-nuclearcurious-nations-include-a-focus-on-smrs/</w:t>
        </w:r>
      </w:hyperlink>
    </w:p>
    <w:p w14:paraId="27ED7264"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lastRenderedPageBreak/>
        <w:t xml:space="preserve">IAEA Milestones Guidance Updated to Include Considerations for SMRs, дата последнего обращения: сентября 29, 2025, </w:t>
      </w:r>
      <w:hyperlink r:id="rId24">
        <w:r w:rsidR="00A7701B" w:rsidRPr="00000523">
          <w:rPr>
            <w:rFonts w:ascii="Calibri" w:eastAsia="Google Sans" w:hAnsi="Calibri" w:cs="Calibri"/>
            <w:color w:val="0000EE"/>
            <w:sz w:val="24"/>
            <w:szCs w:val="24"/>
            <w:u w:val="single"/>
          </w:rPr>
          <w:t>https://www.iaea.org/newscenter/news/iaea-milestones-guidance-updated-to-include-considerations-for-smrs</w:t>
        </w:r>
      </w:hyperlink>
    </w:p>
    <w:p w14:paraId="5B4A31DB"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CONSTRUCTION TIME OF PWRs - INIS-IAEA, дата последнего обращения: сентября 29, 2025, </w:t>
      </w:r>
      <w:hyperlink r:id="rId25">
        <w:r w:rsidR="00A7701B" w:rsidRPr="00000523">
          <w:rPr>
            <w:rFonts w:ascii="Calibri" w:eastAsia="Google Sans" w:hAnsi="Calibri" w:cs="Calibri"/>
            <w:color w:val="0000EE"/>
            <w:sz w:val="24"/>
            <w:szCs w:val="24"/>
            <w:u w:val="single"/>
          </w:rPr>
          <w:t>https://inis.iaea.org/collection/NCLCollectionStore/_Public/42/105/42105221.pdf</w:t>
        </w:r>
      </w:hyperlink>
    </w:p>
    <w:p w14:paraId="48677BFE"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Barakah nuclear power plant - Wikipedia, дата последнего обращения: сентября 29, 2025, </w:t>
      </w:r>
      <w:hyperlink r:id="rId26">
        <w:r w:rsidR="00A7701B" w:rsidRPr="00000523">
          <w:rPr>
            <w:rFonts w:ascii="Calibri" w:eastAsia="Google Sans" w:hAnsi="Calibri" w:cs="Calibri"/>
            <w:color w:val="0000EE"/>
            <w:sz w:val="24"/>
            <w:szCs w:val="24"/>
            <w:u w:val="single"/>
          </w:rPr>
          <w:t>https://en.wikipedia.org/wiki/Barakah_nuclear_power_plant</w:t>
        </w:r>
      </w:hyperlink>
    </w:p>
    <w:p w14:paraId="450CAC85"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ANNEX 4 – NUCLEAR REACTORS IN THE WORLD “UNDER CONSTRUCTION”, дата последнего обращения: сентября 29, 2025, </w:t>
      </w:r>
      <w:hyperlink r:id="rId27">
        <w:r w:rsidR="00A7701B" w:rsidRPr="00000523">
          <w:rPr>
            <w:rFonts w:ascii="Calibri" w:eastAsia="Google Sans" w:hAnsi="Calibri" w:cs="Calibri"/>
            <w:color w:val="0000EE"/>
            <w:sz w:val="24"/>
            <w:szCs w:val="24"/>
            <w:u w:val="single"/>
          </w:rPr>
          <w:t>https://www.worldnuclearreport.org/IMG/pdf/_table_24_-_nuclearreactorsunderconstructiondetails.pdf</w:t>
        </w:r>
      </w:hyperlink>
    </w:p>
    <w:p w14:paraId="12433DB7"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The Next Nuclear Renaissance? | Cato Institute, дата последнего обращения: сентября 29, 2025, </w:t>
      </w:r>
      <w:hyperlink r:id="rId28">
        <w:r w:rsidR="00A7701B" w:rsidRPr="00000523">
          <w:rPr>
            <w:rFonts w:ascii="Calibri" w:eastAsia="Google Sans" w:hAnsi="Calibri" w:cs="Calibri"/>
            <w:color w:val="0000EE"/>
            <w:sz w:val="24"/>
            <w:szCs w:val="24"/>
            <w:u w:val="single"/>
          </w:rPr>
          <w:t>https://www.cato.org/regulation/fall-2025/next-nuclear-renaissance</w:t>
        </w:r>
      </w:hyperlink>
    </w:p>
    <w:p w14:paraId="38A34F53"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Plant Vogtle Unit 4 begins commercial operation - U.S. Energy Information Administration (EIA), дата последнего обращения: сентября 29, 2025, </w:t>
      </w:r>
      <w:hyperlink r:id="rId29">
        <w:r w:rsidR="00A7701B" w:rsidRPr="00000523">
          <w:rPr>
            <w:rFonts w:ascii="Calibri" w:eastAsia="Google Sans" w:hAnsi="Calibri" w:cs="Calibri"/>
            <w:color w:val="0000EE"/>
            <w:sz w:val="24"/>
            <w:szCs w:val="24"/>
            <w:u w:val="single"/>
          </w:rPr>
          <w:t>https://www.eia.gov/todayinenergy/detail.php?id=61963</w:t>
        </w:r>
      </w:hyperlink>
    </w:p>
    <w:p w14:paraId="6C2705AE"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2024 Total Cost Projection of Next AP1000 - MIT, дата последнего обращения: сентября 29, 2025, </w:t>
      </w:r>
      <w:hyperlink r:id="rId30">
        <w:r w:rsidR="00A7701B" w:rsidRPr="00000523">
          <w:rPr>
            <w:rFonts w:ascii="Calibri" w:eastAsia="Google Sans" w:hAnsi="Calibri" w:cs="Calibri"/>
            <w:color w:val="0000EE"/>
            <w:sz w:val="24"/>
            <w:szCs w:val="24"/>
            <w:u w:val="single"/>
          </w:rPr>
          <w:t>https://web.mit.edu/kshirvan/www/research/ANP201%20TR%20CANES.pdf</w:t>
        </w:r>
      </w:hyperlink>
    </w:p>
    <w:p w14:paraId="3011DEF2"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Hualong One - Wikipedia, дата последнего обращения: сентября 29, 2025, </w:t>
      </w:r>
      <w:hyperlink r:id="rId31">
        <w:r w:rsidR="00A7701B" w:rsidRPr="00000523">
          <w:rPr>
            <w:rFonts w:ascii="Calibri" w:eastAsia="Google Sans" w:hAnsi="Calibri" w:cs="Calibri"/>
            <w:color w:val="0000EE"/>
            <w:sz w:val="24"/>
            <w:szCs w:val="24"/>
            <w:u w:val="single"/>
          </w:rPr>
          <w:t>https://en.wikipedia.org/wiki/Hualong_One</w:t>
        </w:r>
      </w:hyperlink>
    </w:p>
    <w:p w14:paraId="38A2B19F"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Small Nuclear Power Reactors, дата последнего обращения: сентября 29, 2025, </w:t>
      </w:r>
      <w:hyperlink r:id="rId32">
        <w:r w:rsidR="00A7701B" w:rsidRPr="00000523">
          <w:rPr>
            <w:rFonts w:ascii="Calibri" w:eastAsia="Google Sans" w:hAnsi="Calibri" w:cs="Calibri"/>
            <w:color w:val="0000EE"/>
            <w:sz w:val="24"/>
            <w:szCs w:val="24"/>
            <w:u w:val="single"/>
          </w:rPr>
          <w:t>https://world-nuclear.org/information-library/nuclear-fuel-cycle/nuclear-power-reactors/small-nuclear-power-reactors</w:t>
        </w:r>
      </w:hyperlink>
    </w:p>
    <w:p w14:paraId="5484F415"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Small Modular Reactors: Nuclear Energy Market Potential for Near-term Deployment, дата последнего обращения: сентября 29, 2025, </w:t>
      </w:r>
      <w:hyperlink r:id="rId33">
        <w:r w:rsidR="00A7701B" w:rsidRPr="00000523">
          <w:rPr>
            <w:rFonts w:ascii="Calibri" w:eastAsia="Google Sans" w:hAnsi="Calibri" w:cs="Calibri"/>
            <w:color w:val="0000EE"/>
            <w:sz w:val="24"/>
            <w:szCs w:val="24"/>
            <w:u w:val="single"/>
          </w:rPr>
          <w:t>https://www.oecd-nea.org/upload/docs/application/pdf/2019-12/7213-smrs.pdf</w:t>
        </w:r>
      </w:hyperlink>
    </w:p>
    <w:p w14:paraId="0B94A2DF"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Big Change Goes Small: Are Small Modular Reactors (SMRs) the Future of Nuclear Energy? - usitc, дата последнего обращения: сентября 29, 2025, </w:t>
      </w:r>
      <w:hyperlink r:id="rId34">
        <w:r w:rsidR="00A7701B" w:rsidRPr="00000523">
          <w:rPr>
            <w:rFonts w:ascii="Calibri" w:eastAsia="Google Sans" w:hAnsi="Calibri" w:cs="Calibri"/>
            <w:color w:val="0000EE"/>
            <w:sz w:val="24"/>
            <w:szCs w:val="24"/>
            <w:u w:val="single"/>
          </w:rPr>
          <w:t>https://www.usitc.gov/sites/default/files/publications/332/working_papers/smrs_fo_ma.pdf</w:t>
        </w:r>
      </w:hyperlink>
    </w:p>
    <w:p w14:paraId="6039054C"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Faster, Cheaper, Smarter? The Promise and Pitfalls of Small Modular Reactors | GLOBSEC, дата последнего обращения: сентября 29, 2025, </w:t>
      </w:r>
      <w:hyperlink r:id="rId35">
        <w:r w:rsidR="00A7701B" w:rsidRPr="00000523">
          <w:rPr>
            <w:rFonts w:ascii="Calibri" w:eastAsia="Google Sans" w:hAnsi="Calibri" w:cs="Calibri"/>
            <w:color w:val="0000EE"/>
            <w:sz w:val="24"/>
            <w:szCs w:val="24"/>
            <w:u w:val="single"/>
          </w:rPr>
          <w:t>https://www.globsec.org/what-we-do/commentaries/faster-cheaper-smarter-promise-and-pitfalls-small-modular-reactors</w:t>
        </w:r>
      </w:hyperlink>
    </w:p>
    <w:p w14:paraId="068D2EF9"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The Economics of Small Modular Reactors - March 2021 - Nuclear Energy Institute, дата последнего обращения: сентября 29, 2025, </w:t>
      </w:r>
      <w:hyperlink r:id="rId36">
        <w:r w:rsidR="00A7701B" w:rsidRPr="00000523">
          <w:rPr>
            <w:rFonts w:ascii="Calibri" w:eastAsia="Google Sans" w:hAnsi="Calibri" w:cs="Calibri"/>
            <w:color w:val="0000EE"/>
            <w:sz w:val="24"/>
            <w:szCs w:val="24"/>
            <w:u w:val="single"/>
          </w:rPr>
          <w:t>https://www.nei.org/CorporateSite/media/filefolder/advanced/SMR-Start-Economic-Analysis-2021-(APPROVED-2021-03-22).pdf</w:t>
        </w:r>
      </w:hyperlink>
    </w:p>
    <w:p w14:paraId="714FAB52"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Rolls-Royce on track for 2030 delivery of UK SMR - World Nuclear News, дата последнего обращения: сентября 29, 2025, </w:t>
      </w:r>
      <w:hyperlink r:id="rId37">
        <w:r w:rsidR="00A7701B" w:rsidRPr="00000523">
          <w:rPr>
            <w:rFonts w:ascii="Calibri" w:eastAsia="Google Sans" w:hAnsi="Calibri" w:cs="Calibri"/>
            <w:color w:val="0000EE"/>
            <w:sz w:val="24"/>
            <w:szCs w:val="24"/>
            <w:u w:val="single"/>
          </w:rPr>
          <w:t>https://www.world-nuclear-news.org/Articles/Rolls-Royce-on-track-for-2030-delivery-of-UK-SMR</w:t>
        </w:r>
      </w:hyperlink>
    </w:p>
    <w:p w14:paraId="186C50B8" w14:textId="77777777" w:rsidR="00A7701B" w:rsidRPr="00000523" w:rsidRDefault="00000000" w:rsidP="00000523">
      <w:pPr>
        <w:numPr>
          <w:ilvl w:val="0"/>
          <w:numId w:val="6"/>
        </w:numPr>
        <w:pBdr>
          <w:top w:val="nil"/>
          <w:left w:val="nil"/>
          <w:bottom w:val="nil"/>
          <w:right w:val="nil"/>
          <w:between w:val="nil"/>
        </w:pBdr>
        <w:jc w:val="both"/>
        <w:rPr>
          <w:rFonts w:ascii="Calibri" w:hAnsi="Calibri" w:cs="Calibri"/>
        </w:rPr>
      </w:pPr>
      <w:r w:rsidRPr="00000523">
        <w:rPr>
          <w:rFonts w:ascii="Calibri" w:eastAsia="Google Sans" w:hAnsi="Calibri" w:cs="Calibri"/>
          <w:sz w:val="24"/>
          <w:szCs w:val="24"/>
        </w:rPr>
        <w:t xml:space="preserve">Appendix 20 Nuclear Power - NetZero, дата последнего обращения: сентября 29, 2025, </w:t>
      </w:r>
      <w:hyperlink r:id="rId38">
        <w:r w:rsidR="00A7701B" w:rsidRPr="00000523">
          <w:rPr>
            <w:rFonts w:ascii="Calibri" w:eastAsia="Google Sans" w:hAnsi="Calibri" w:cs="Calibri"/>
            <w:color w:val="0000EE"/>
            <w:sz w:val="24"/>
            <w:szCs w:val="24"/>
            <w:u w:val="single"/>
          </w:rPr>
          <w:t>https://www.netzero.im/media/j1ijhktq/appendix-20-nuclear-power.pdf</w:t>
        </w:r>
      </w:hyperlink>
    </w:p>
    <w:sectPr w:rsidR="00A7701B" w:rsidRPr="00000523">
      <w:headerReference w:type="default" r:id="rId39"/>
      <w:footerReference w:type="default" r:id="rId4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C81E9" w14:textId="77777777" w:rsidR="009A3EB7" w:rsidRDefault="009A3EB7" w:rsidP="008E7260">
      <w:r>
        <w:separator/>
      </w:r>
    </w:p>
  </w:endnote>
  <w:endnote w:type="continuationSeparator" w:id="0">
    <w:p w14:paraId="52C1F657" w14:textId="77777777" w:rsidR="009A3EB7" w:rsidRDefault="009A3EB7" w:rsidP="008E7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3988D0BC-01BE-664E-9D38-682AE55D6C6A}"/>
    <w:embedBold r:id="rId2" w:fontKey="{4E8677EB-49ED-4D42-94F9-343EE6FFBED0}"/>
  </w:font>
  <w:font w:name="Times New Roman">
    <w:panose1 w:val="02020603050405020304"/>
    <w:charset w:val="00"/>
    <w:family w:val="roman"/>
    <w:pitch w:val="variable"/>
    <w:sig w:usb0="E0002EFF" w:usb1="C000785B" w:usb2="00000009" w:usb3="00000000" w:csb0="000001FF" w:csb1="00000000"/>
    <w:embedRegular r:id="rId3" w:fontKey="{A60E6297-EF5D-C440-9648-27F647079D1D}"/>
  </w:font>
  <w:font w:name="Georgia">
    <w:panose1 w:val="02040502050405020303"/>
    <w:charset w:val="00"/>
    <w:family w:val="roman"/>
    <w:pitch w:val="variable"/>
    <w:sig w:usb0="00000287" w:usb1="00000000" w:usb2="00000000" w:usb3="00000000" w:csb0="0000009F" w:csb1="00000000"/>
    <w:embedRegular r:id="rId4" w:fontKey="{94CA6FDC-201B-BB4E-A1FD-D24EC74FEBC3}"/>
    <w:embedItalic r:id="rId5" w:fontKey="{FA0E575D-6356-5C48-9A7D-8DCCC9421ABE}"/>
  </w:font>
  <w:font w:name="Calibri">
    <w:panose1 w:val="020F0502020204030204"/>
    <w:charset w:val="00"/>
    <w:family w:val="swiss"/>
    <w:pitch w:val="variable"/>
    <w:sig w:usb0="E4002EFF" w:usb1="C200247B" w:usb2="00000009" w:usb3="00000000" w:csb0="000001FF" w:csb1="00000000"/>
    <w:embedRegular r:id="rId6" w:fontKey="{E2A96846-B912-D54E-8A4B-4992CFF5911B}"/>
    <w:embedBold r:id="rId7" w:fontKey="{FEEA0D55-B9AA-4E47-9123-CBAFAE6B7809}"/>
  </w:font>
  <w:font w:name="Google Sans">
    <w:altName w:val="Calibri"/>
    <w:panose1 w:val="020B0604020202020204"/>
    <w:charset w:val="00"/>
    <w:family w:val="auto"/>
    <w:pitch w:val="default"/>
    <w:embedRegular r:id="rId8" w:fontKey="{F1ED282C-A494-9949-A5D1-88D7040B1ED4}"/>
    <w:embedBold r:id="rId9" w:fontKey="{29C93A29-C5B0-204E-9A66-7A814EBCA0DB}"/>
  </w:font>
  <w:font w:name="Google Sans Text">
    <w:altName w:val="Calibri"/>
    <w:panose1 w:val="020B0604020202020204"/>
    <w:charset w:val="00"/>
    <w:family w:val="auto"/>
    <w:pitch w:val="default"/>
    <w:embedRegular r:id="rId10" w:fontKey="{EE920C75-7864-5549-9039-C4772B943BD7}"/>
    <w:embedBold r:id="rId11" w:fontKey="{F66B98EC-AF4D-194F-9991-91937D8D354B}"/>
  </w:font>
  <w:font w:name="Calibri Light">
    <w:panose1 w:val="020F0302020204030204"/>
    <w:charset w:val="00"/>
    <w:family w:val="swiss"/>
    <w:pitch w:val="variable"/>
    <w:sig w:usb0="E0002AFF" w:usb1="C000247B" w:usb2="00000009" w:usb3="00000000" w:csb0="000001FF" w:csb1="00000000"/>
    <w:embedRegular r:id="rId12" w:fontKey="{346A7062-2F0C-2841-88A1-C1652E199702}"/>
  </w:font>
  <w:font w:name="Cambria">
    <w:panose1 w:val="02040503050406030204"/>
    <w:charset w:val="00"/>
    <w:family w:val="roman"/>
    <w:pitch w:val="variable"/>
    <w:sig w:usb0="E00006FF" w:usb1="420024FF" w:usb2="02000000" w:usb3="00000000" w:csb0="0000019F" w:csb1="00000000"/>
    <w:embedRegular r:id="rId13" w:fontKey="{41649542-AF1B-8141-8242-0D955259BC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93126" w14:textId="77777777" w:rsidR="008E7260" w:rsidRPr="00177B08" w:rsidRDefault="008E7260" w:rsidP="008E7260">
    <w:pPr>
      <w:ind w:right="360"/>
      <w:jc w:val="both"/>
      <w:rPr>
        <w:rFonts w:ascii="Calibri Light" w:eastAsia="Times New Roman" w:hAnsi="Calibri Light" w:cs="Calibri Light"/>
        <w:sz w:val="16"/>
        <w:szCs w:val="16"/>
        <w:lang w:val="en-US"/>
      </w:rPr>
    </w:pPr>
    <w:r w:rsidRPr="00177B08">
      <w:rPr>
        <w:rFonts w:ascii="Calibri Light" w:eastAsia="Times New Roman" w:hAnsi="Calibri Light" w:cs="Calibri Light"/>
        <w:sz w:val="16"/>
        <w:szCs w:val="16"/>
        <w:lang w:val="en-US"/>
      </w:rPr>
      <w:t>Legal Disclaimer | Privacy Policy</w:t>
    </w:r>
  </w:p>
  <w:p w14:paraId="77835EC0" w14:textId="1EA9088C" w:rsidR="008E7260" w:rsidRPr="008E7260" w:rsidRDefault="008E7260" w:rsidP="008E7260">
    <w:pPr>
      <w:pStyle w:val="aa"/>
      <w:ind w:right="360"/>
      <w:rPr>
        <w:lang w:val="en-US"/>
      </w:rPr>
    </w:pPr>
    <w:r w:rsidRPr="00177B08">
      <w:rPr>
        <w:rFonts w:ascii="Calibri Light" w:eastAsia="Times New Roman" w:hAnsi="Calibri Light" w:cs="Calibri Light"/>
        <w:sz w:val="16"/>
        <w:szCs w:val="16"/>
        <w:lang w:val="en-US"/>
      </w:rPr>
      <w:t xml:space="preserve">© Copyright </w:t>
    </w:r>
    <w:r>
      <w:rPr>
        <w:rFonts w:ascii="Calibri Light" w:eastAsia="Times New Roman" w:hAnsi="Calibri Light" w:cs="Calibri Light"/>
        <w:sz w:val="16"/>
        <w:szCs w:val="16"/>
        <w:lang w:val="en-US"/>
      </w:rPr>
      <w:t>CONSILIO B</w:t>
    </w:r>
    <w:r w:rsidRPr="00177B08">
      <w:rPr>
        <w:rFonts w:ascii="Calibri Light" w:eastAsia="Times New Roman" w:hAnsi="Calibri Light" w:cs="Calibri Light"/>
        <w:sz w:val="16"/>
        <w:szCs w:val="16"/>
        <w:lang w:val="en-US"/>
      </w:rPr>
      <w:t xml:space="preserve"> </w:t>
    </w:r>
    <w:r w:rsidRPr="00815D3A">
      <w:rPr>
        <w:rFonts w:ascii="Calibri Light" w:eastAsia="Times New Roman" w:hAnsi="Calibri Light" w:cs="Calibri Light"/>
        <w:sz w:val="16"/>
        <w:szCs w:val="16"/>
        <w:lang w:val="en-US"/>
      </w:rPr>
      <w:t>CONSULTING BUREAU BEOGRAD</w:t>
    </w:r>
    <w:r w:rsidRPr="00177B08">
      <w:rPr>
        <w:rFonts w:ascii="Calibri Light" w:eastAsia="Times New Roman" w:hAnsi="Calibri Light" w:cs="Calibri Light"/>
        <w:sz w:val="16"/>
        <w:szCs w:val="16"/>
        <w:lang w:val="en-US"/>
      </w:rPr>
      <w:t>, 202</w:t>
    </w:r>
    <w:r>
      <w:rPr>
        <w:rFonts w:ascii="Calibri Light" w:eastAsia="Times New Roman" w:hAnsi="Calibri Light" w:cs="Calibri Light"/>
        <w:sz w:val="16"/>
        <w:szCs w:val="16"/>
        <w:lang w:val="en-US"/>
      </w:rPr>
      <w:t>5</w:t>
    </w:r>
    <w:r w:rsidRPr="00177B08">
      <w:rPr>
        <w:rFonts w:ascii="Calibri Light" w:eastAsia="Times New Roman" w:hAnsi="Calibri Light" w:cs="Calibri Light"/>
        <w:sz w:val="16"/>
        <w:szCs w:val="16"/>
        <w:lang w:val="en-US"/>
      </w:rPr>
      <w:t xml:space="preserve">. All rights reserved. Reproduction, adaptation, or translation without permission is prohibited except as allowed under the international copyright laws. All the text, content, graphics, design, and other works are the copyrighted works of </w:t>
    </w:r>
    <w:r>
      <w:rPr>
        <w:rFonts w:ascii="Calibri Light" w:eastAsia="Times New Roman" w:hAnsi="Calibri Light" w:cs="Calibri Light"/>
        <w:sz w:val="16"/>
        <w:szCs w:val="16"/>
        <w:lang w:val="en-US"/>
      </w:rPr>
      <w:t>CONSILIO B</w:t>
    </w:r>
    <w:r w:rsidRPr="00177B08">
      <w:rPr>
        <w:rFonts w:ascii="Calibri Light" w:eastAsia="Times New Roman" w:hAnsi="Calibri Light" w:cs="Calibri Light"/>
        <w:sz w:val="16"/>
        <w:szCs w:val="16"/>
        <w:lang w:val="en-US"/>
      </w:rPr>
      <w:t>,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C25AE" w14:textId="77777777" w:rsidR="009A3EB7" w:rsidRDefault="009A3EB7" w:rsidP="008E7260">
      <w:r>
        <w:separator/>
      </w:r>
    </w:p>
  </w:footnote>
  <w:footnote w:type="continuationSeparator" w:id="0">
    <w:p w14:paraId="71E4A3DE" w14:textId="77777777" w:rsidR="009A3EB7" w:rsidRDefault="009A3EB7" w:rsidP="008E7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23ABB" w14:textId="5503CA3F" w:rsidR="008E7260" w:rsidRDefault="008E7260">
    <w:pPr>
      <w:pStyle w:val="a8"/>
    </w:pPr>
    <w:r w:rsidRPr="002D0DD2">
      <w:rPr>
        <w:noProof/>
      </w:rPr>
      <w:drawing>
        <wp:anchor distT="0" distB="0" distL="114300" distR="114300" simplePos="0" relativeHeight="251659264" behindDoc="0" locked="0" layoutInCell="1" allowOverlap="1" wp14:anchorId="0D72BD97" wp14:editId="3DE05171">
          <wp:simplePos x="0" y="0"/>
          <wp:positionH relativeFrom="column">
            <wp:posOffset>2024</wp:posOffset>
          </wp:positionH>
          <wp:positionV relativeFrom="paragraph">
            <wp:posOffset>403274</wp:posOffset>
          </wp:positionV>
          <wp:extent cx="2288369" cy="448798"/>
          <wp:effectExtent l="0" t="0" r="0" b="0"/>
          <wp:wrapNone/>
          <wp:docPr id="2007795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5465" name=""/>
                  <pic:cNvPicPr/>
                </pic:nvPicPr>
                <pic:blipFill rotWithShape="1">
                  <a:blip r:embed="rId1"/>
                  <a:srcRect b="6459"/>
                  <a:stretch/>
                </pic:blipFill>
                <pic:spPr bwMode="auto">
                  <a:xfrm>
                    <a:off x="0" y="0"/>
                    <a:ext cx="2288369" cy="448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1C2670"/>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4DD243C9"/>
    <w:multiLevelType w:val="multilevel"/>
    <w:tmpl w:val="78C2249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4F7325BB"/>
    <w:multiLevelType w:val="multilevel"/>
    <w:tmpl w:val="47E2FD8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68A55245"/>
    <w:multiLevelType w:val="multilevel"/>
    <w:tmpl w:val="C60C6E1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729F07B1"/>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7AD62B96"/>
    <w:multiLevelType w:val="multilevel"/>
    <w:tmpl w:val="B5D8C0D2"/>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569000869">
    <w:abstractNumId w:val="3"/>
  </w:num>
  <w:num w:numId="2" w16cid:durableId="465272608">
    <w:abstractNumId w:val="4"/>
  </w:num>
  <w:num w:numId="3" w16cid:durableId="251477151">
    <w:abstractNumId w:val="2"/>
  </w:num>
  <w:num w:numId="4" w16cid:durableId="1538856785">
    <w:abstractNumId w:val="0"/>
  </w:num>
  <w:num w:numId="5" w16cid:durableId="917792365">
    <w:abstractNumId w:val="1"/>
  </w:num>
  <w:num w:numId="6" w16cid:durableId="1704151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01B"/>
    <w:rsid w:val="00000523"/>
    <w:rsid w:val="00603180"/>
    <w:rsid w:val="008E7260"/>
    <w:rsid w:val="009A3EB7"/>
    <w:rsid w:val="00A7701B"/>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A62D0"/>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BG"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a8">
    <w:name w:val="header"/>
    <w:basedOn w:val="a"/>
    <w:link w:val="a9"/>
    <w:uiPriority w:val="99"/>
    <w:unhideWhenUsed/>
    <w:rsid w:val="008E7260"/>
    <w:pPr>
      <w:tabs>
        <w:tab w:val="center" w:pos="4513"/>
        <w:tab w:val="right" w:pos="9026"/>
      </w:tabs>
    </w:pPr>
  </w:style>
  <w:style w:type="character" w:customStyle="1" w:styleId="a9">
    <w:name w:val="Верхний колонтитул Знак"/>
    <w:basedOn w:val="a0"/>
    <w:link w:val="a8"/>
    <w:uiPriority w:val="99"/>
    <w:rsid w:val="008E7260"/>
  </w:style>
  <w:style w:type="paragraph" w:styleId="aa">
    <w:name w:val="footer"/>
    <w:basedOn w:val="a"/>
    <w:link w:val="ab"/>
    <w:uiPriority w:val="99"/>
    <w:unhideWhenUsed/>
    <w:qFormat/>
    <w:rsid w:val="008E7260"/>
    <w:pPr>
      <w:tabs>
        <w:tab w:val="center" w:pos="4513"/>
        <w:tab w:val="right" w:pos="9026"/>
      </w:tabs>
    </w:pPr>
  </w:style>
  <w:style w:type="character" w:customStyle="1" w:styleId="ab">
    <w:name w:val="Нижний колонтитул Знак"/>
    <w:basedOn w:val="a0"/>
    <w:link w:val="aa"/>
    <w:uiPriority w:val="99"/>
    <w:rsid w:val="008E7260"/>
  </w:style>
  <w:style w:type="paragraph" w:styleId="20">
    <w:name w:val="toc 2"/>
    <w:basedOn w:val="a"/>
    <w:next w:val="a"/>
    <w:autoRedefine/>
    <w:uiPriority w:val="39"/>
    <w:unhideWhenUsed/>
    <w:rsid w:val="008E7260"/>
    <w:pPr>
      <w:spacing w:after="100"/>
      <w:ind w:left="220"/>
    </w:pPr>
  </w:style>
  <w:style w:type="paragraph" w:styleId="30">
    <w:name w:val="toc 3"/>
    <w:basedOn w:val="a"/>
    <w:next w:val="a"/>
    <w:autoRedefine/>
    <w:uiPriority w:val="39"/>
    <w:unhideWhenUsed/>
    <w:rsid w:val="008E7260"/>
    <w:pPr>
      <w:spacing w:after="100"/>
      <w:ind w:left="440"/>
    </w:pPr>
  </w:style>
  <w:style w:type="character" w:styleId="ac">
    <w:name w:val="Hyperlink"/>
    <w:basedOn w:val="a0"/>
    <w:uiPriority w:val="99"/>
    <w:unhideWhenUsed/>
    <w:rsid w:val="008E72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n.apa.az/cis-countries/nuclear-facility-russia-and-serbia-have-begun-negotiations-on-construction-of-nuclear-power-plant-477976" TargetMode="External"/><Relationship Id="rId18" Type="http://schemas.openxmlformats.org/officeDocument/2006/relationships/hyperlink" Target="https://world-nuclear-news.org/articles/putin-says-new-financing-models-need-to-be-developed-for-nuclear" TargetMode="External"/><Relationship Id="rId26" Type="http://schemas.openxmlformats.org/officeDocument/2006/relationships/hyperlink" Target="https://en.wikipedia.org/wiki/Barakah_nuclear_power_plant" TargetMode="External"/><Relationship Id="rId39" Type="http://schemas.openxmlformats.org/officeDocument/2006/relationships/header" Target="header1.xml"/><Relationship Id="rId21" Type="http://schemas.openxmlformats.org/officeDocument/2006/relationships/hyperlink" Target="https://www-pub.iaea.org/MTCD/Publications/PDF/Pub1477_web.pdf" TargetMode="External"/><Relationship Id="rId34" Type="http://schemas.openxmlformats.org/officeDocument/2006/relationships/hyperlink" Target="https://www.usitc.gov/sites/default/files/publications/332/working_papers/smrs_fo_ma.pdf" TargetMode="External"/><Relationship Id="rId42" Type="http://schemas.openxmlformats.org/officeDocument/2006/relationships/theme" Target="theme/theme1.xml"/><Relationship Id="rId7" Type="http://schemas.openxmlformats.org/officeDocument/2006/relationships/hyperlink" Target="https://www.intellinews.com/serbia-in-talks-with-russia-on-nuclear-power-plant-construction-401696/" TargetMode="External"/><Relationship Id="rId2" Type="http://schemas.openxmlformats.org/officeDocument/2006/relationships/styles" Target="styles.xml"/><Relationship Id="rId16" Type="http://schemas.openxmlformats.org/officeDocument/2006/relationships/hyperlink" Target="https://www.europarl.europa.eu/RegData/etudes/IDAN/2022/639327/EXPO_IDA(2022)639327_EN.pdf" TargetMode="External"/><Relationship Id="rId20" Type="http://schemas.openxmlformats.org/officeDocument/2006/relationships/hyperlink" Target="https://www.oecd-nea.org/upload/docs/application/pdf/2019-12/financing-plants.pdf" TargetMode="External"/><Relationship Id="rId29" Type="http://schemas.openxmlformats.org/officeDocument/2006/relationships/hyperlink" Target="https://www.eia.gov/todayinenergy/detail.php?id=61963"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fnec.org/ifnec/upload/docs/application/pdf/2019-01/9.m.vansickle_iaea_services_for_owner-operators_in_emerging_states.pdf" TargetMode="External"/><Relationship Id="rId24" Type="http://schemas.openxmlformats.org/officeDocument/2006/relationships/hyperlink" Target="https://www.iaea.org/newscenter/news/iaea-milestones-guidance-updated-to-include-considerations-for-smrs" TargetMode="External"/><Relationship Id="rId32" Type="http://schemas.openxmlformats.org/officeDocument/2006/relationships/hyperlink" Target="https://world-nuclear.org/information-library/nuclear-fuel-cycle/nuclear-power-reactors/small-nuclear-power-reactors" TargetMode="External"/><Relationship Id="rId37" Type="http://schemas.openxmlformats.org/officeDocument/2006/relationships/hyperlink" Target="https://www.world-nuclear-news.org/Articles/Rolls-Royce-on-track-for-2030-delivery-of-UK-SMR"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rferl.org/a/serbia-nuclear-energy-hungary-china-rosatom-paks/33029040.html" TargetMode="External"/><Relationship Id="rId23" Type="http://schemas.openxmlformats.org/officeDocument/2006/relationships/hyperlink" Target="https://www.ans.org/news/article-6292/iaeas-updated-milestones-for-nuclearcurious-nations-include-a-focus-on-smrs/" TargetMode="External"/><Relationship Id="rId28" Type="http://schemas.openxmlformats.org/officeDocument/2006/relationships/hyperlink" Target="https://www.cato.org/regulation/fall-2025/next-nuclear-renaissance" TargetMode="External"/><Relationship Id="rId36" Type="http://schemas.openxmlformats.org/officeDocument/2006/relationships/hyperlink" Target="https://www.nei.org/CorporateSite/media/filefolder/advanced/SMR-Start-Economic-Analysis-2021-(APPROVED-2021-03-22).pdf" TargetMode="External"/><Relationship Id="rId10" Type="http://schemas.openxmlformats.org/officeDocument/2006/relationships/hyperlink" Target="https://www.ekapija.com/en/news/5293155/serbia-negotiating-with-russia-about-construction-of-nuclear-power-plant" TargetMode="External"/><Relationship Id="rId19" Type="http://schemas.openxmlformats.org/officeDocument/2006/relationships/hyperlink" Target="https://world-nuclear.org/information-library/economic-aspects/financing-nuclear-energy" TargetMode="External"/><Relationship Id="rId31" Type="http://schemas.openxmlformats.org/officeDocument/2006/relationships/hyperlink" Target="https://en.wikipedia.org/wiki/Hualong_One" TargetMode="External"/><Relationship Id="rId4" Type="http://schemas.openxmlformats.org/officeDocument/2006/relationships/webSettings" Target="webSettings.xml"/><Relationship Id="rId9" Type="http://schemas.openxmlformats.org/officeDocument/2006/relationships/hyperlink" Target="https://russiaspivottoasia.com/moscow-belgrade-discuss-building-serbias-first-nuclear-power-plant/" TargetMode="External"/><Relationship Id="rId14" Type="http://schemas.openxmlformats.org/officeDocument/2006/relationships/hyperlink" Target="https://en.wikipedia.org/wiki/APR-1400" TargetMode="External"/><Relationship Id="rId22" Type="http://schemas.openxmlformats.org/officeDocument/2006/relationships/hyperlink" Target="https://www-pub.iaea.org/MTCD/Publications/PDF/Pub1549_web.pdf" TargetMode="External"/><Relationship Id="rId27" Type="http://schemas.openxmlformats.org/officeDocument/2006/relationships/hyperlink" Target="https://www.worldnuclearreport.org/IMG/pdf/_table_24_-_nuclearreactorsunderconstructiondetails.pdf" TargetMode="External"/><Relationship Id="rId30" Type="http://schemas.openxmlformats.org/officeDocument/2006/relationships/hyperlink" Target="https://web.mit.edu/kshirvan/www/research/ANP201%20TR%20CANES.pdf" TargetMode="External"/><Relationship Id="rId35" Type="http://schemas.openxmlformats.org/officeDocument/2006/relationships/hyperlink" Target="https://www.globsec.org/what-we-do/commentaries/faster-cheaper-smarter-promise-and-pitfalls-small-modular-reactors" TargetMode="External"/><Relationship Id="rId8" Type="http://schemas.openxmlformats.org/officeDocument/2006/relationships/hyperlink" Target="https://eualive.net/serbia-in-talks-with-russia-to-build-its-first-nuclear-power-plant/" TargetMode="External"/><Relationship Id="rId3" Type="http://schemas.openxmlformats.org/officeDocument/2006/relationships/settings" Target="settings.xml"/><Relationship Id="rId12" Type="http://schemas.openxmlformats.org/officeDocument/2006/relationships/hyperlink" Target="https://balkangreenenergynews.com/serbia-south-koreas-khnp-to-cooperate-on-nuclear-energy-hydrogen/" TargetMode="External"/><Relationship Id="rId17" Type="http://schemas.openxmlformats.org/officeDocument/2006/relationships/hyperlink" Target="https://caspianpolicy.org/research/energy/beyond-the-contract-what-kazakhstans-rosatom-deal-says-about-its-foreign-policy-balancing-act" TargetMode="External"/><Relationship Id="rId25" Type="http://schemas.openxmlformats.org/officeDocument/2006/relationships/hyperlink" Target="https://inis.iaea.org/collection/NCLCollectionStore/_Public/42/105/42105221.pdf" TargetMode="External"/><Relationship Id="rId33" Type="http://schemas.openxmlformats.org/officeDocument/2006/relationships/hyperlink" Target="https://www.oecd-nea.org/upload/docs/application/pdf/2019-12/7213-smrs.pdf" TargetMode="External"/><Relationship Id="rId38" Type="http://schemas.openxmlformats.org/officeDocument/2006/relationships/hyperlink" Target="https://www.netzero.im/media/j1ijhktq/appendix-20-nuclear-power.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5681</Words>
  <Characters>32388</Characters>
  <Application>Microsoft Office Word</Application>
  <DocSecurity>0</DocSecurity>
  <Lines>269</Lines>
  <Paragraphs>75</Paragraphs>
  <ScaleCrop>false</ScaleCrop>
  <Company/>
  <LinksUpToDate>false</LinksUpToDate>
  <CharactersWithSpaces>37994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3</cp:revision>
  <dcterms:created xsi:type="dcterms:W3CDTF">2025-09-29T18:13:00Z</dcterms:created>
  <dcterms:modified xsi:type="dcterms:W3CDTF">2025-10-05T15:45:00Z</dcterms:modified>
</cp:coreProperties>
</file>