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959B8" w14:textId="77777777" w:rsidR="00A7701B" w:rsidRPr="008E7260" w:rsidRDefault="00A7701B" w:rsidP="00000523">
      <w:pPr>
        <w:pBdr>
          <w:top w:val="nil"/>
          <w:left w:val="nil"/>
          <w:bottom w:val="nil"/>
          <w:right w:val="nil"/>
          <w:between w:val="nil"/>
        </w:pBdr>
        <w:spacing w:after="240" w:line="275" w:lineRule="auto"/>
        <w:jc w:val="both"/>
        <w:rPr>
          <w:rFonts w:ascii="Calibri" w:hAnsi="Calibri" w:cs="Calibri"/>
          <w:color w:val="000000"/>
          <w:lang w:val="ru-RU"/>
        </w:rPr>
      </w:pPr>
    </w:p>
    <w:p w14:paraId="4B8CD5A1" w14:textId="77777777" w:rsidR="008E7260" w:rsidRPr="008E7260" w:rsidRDefault="00000000" w:rsidP="008E7260">
      <w:pPr>
        <w:rPr>
          <w:rFonts w:asciiTheme="majorHAnsi" w:hAnsiTheme="majorHAnsi" w:cstheme="majorHAnsi"/>
          <w:b/>
          <w:bCs/>
          <w:sz w:val="40"/>
          <w:szCs w:val="40"/>
        </w:rPr>
      </w:pPr>
      <w:r w:rsidRPr="008E7260">
        <w:rPr>
          <w:rFonts w:asciiTheme="majorHAnsi" w:hAnsiTheme="majorHAnsi" w:cstheme="majorHAnsi"/>
          <w:b/>
          <w:bCs/>
          <w:sz w:val="40"/>
          <w:szCs w:val="40"/>
        </w:rPr>
        <w:t>Анализ Предложений Мировых Вендоров по Строительству АЭС в Сербии: Сроки и Вехи в Соответствии с Методологией МАГАТЭ</w:t>
      </w:r>
    </w:p>
    <w:p w14:paraId="00EF7BAD" w14:textId="77777777" w:rsidR="008E7260" w:rsidRPr="008E7260" w:rsidRDefault="008E7260" w:rsidP="008E7260">
      <w:pPr>
        <w:rPr>
          <w:rFonts w:asciiTheme="majorHAnsi" w:hAnsiTheme="majorHAnsi" w:cstheme="majorHAnsi"/>
          <w:b/>
          <w:bCs/>
          <w:sz w:val="40"/>
          <w:szCs w:val="40"/>
        </w:rPr>
      </w:pPr>
    </w:p>
    <w:p w14:paraId="0FFCB647" w14:textId="77777777" w:rsidR="008E7260" w:rsidRDefault="008E7260" w:rsidP="008E7260">
      <w:pPr>
        <w:rPr>
          <w:rFonts w:asciiTheme="majorHAnsi" w:hAnsiTheme="majorHAnsi" w:cstheme="majorHAnsi"/>
          <w:b/>
          <w:bCs/>
          <w:sz w:val="36"/>
          <w:szCs w:val="36"/>
          <w:lang w:val="ru-RU"/>
        </w:rPr>
      </w:pPr>
      <w:r w:rsidRPr="008E7260">
        <w:rPr>
          <w:rFonts w:asciiTheme="majorHAnsi" w:hAnsiTheme="majorHAnsi" w:cstheme="majorHAnsi"/>
          <w:b/>
          <w:bCs/>
          <w:sz w:val="36"/>
          <w:szCs w:val="36"/>
          <w:lang w:val="ru-RU"/>
        </w:rPr>
        <w:t>Содержание</w:t>
      </w:r>
    </w:p>
    <w:p w14:paraId="54133C94" w14:textId="3ECE6B71" w:rsidR="008E7260" w:rsidRDefault="008E7260" w:rsidP="008E7260">
      <w:pPr>
        <w:rPr>
          <w:noProof/>
        </w:rPr>
      </w:pPr>
      <w:r>
        <w:rPr>
          <w:rFonts w:asciiTheme="majorHAnsi" w:hAnsiTheme="majorHAnsi" w:cstheme="majorHAnsi"/>
          <w:b/>
          <w:bCs/>
          <w:sz w:val="36"/>
          <w:szCs w:val="36"/>
          <w:lang w:val="ru-RU"/>
        </w:rPr>
        <w:fldChar w:fldCharType="begin"/>
      </w:r>
      <w:r>
        <w:rPr>
          <w:rFonts w:asciiTheme="majorHAnsi" w:hAnsiTheme="majorHAnsi" w:cstheme="majorHAnsi"/>
          <w:b/>
          <w:bCs/>
          <w:sz w:val="36"/>
          <w:szCs w:val="36"/>
          <w:lang w:val="ru-RU"/>
        </w:rPr>
        <w:instrText xml:space="preserve"> TOC \o "1-3" \h \z \u </w:instrText>
      </w:r>
      <w:r>
        <w:rPr>
          <w:rFonts w:asciiTheme="majorHAnsi" w:hAnsiTheme="majorHAnsi" w:cstheme="majorHAnsi"/>
          <w:b/>
          <w:bCs/>
          <w:sz w:val="36"/>
          <w:szCs w:val="36"/>
          <w:lang w:val="ru-RU"/>
        </w:rPr>
        <w:fldChar w:fldCharType="separate"/>
      </w:r>
    </w:p>
    <w:p w14:paraId="0107CA05" w14:textId="1E9BD3C9" w:rsidR="008E7260" w:rsidRDefault="008E7260">
      <w:pPr>
        <w:pStyle w:val="20"/>
        <w:tabs>
          <w:tab w:val="right" w:leader="dot" w:pos="9350"/>
        </w:tabs>
        <w:rPr>
          <w:noProof/>
        </w:rPr>
      </w:pPr>
      <w:hyperlink w:anchor="_Toc210582162" w:history="1">
        <w:r w:rsidRPr="00EB42A7">
          <w:rPr>
            <w:rStyle w:val="ac"/>
            <w:rFonts w:ascii="Calibri" w:eastAsia="Google Sans" w:hAnsi="Calibri" w:cs="Calibri"/>
            <w:noProof/>
          </w:rPr>
          <w:t>РАЗДЕЛ I: СЕРБИЯ И СТРАТЕГИЧЕСКИЕ ПРЕДПОСЫЛКИ ДЛЯ ЯДЕРНОЙ ЭНЕРГЕТИКИ</w:t>
        </w:r>
        <w:r>
          <w:rPr>
            <w:noProof/>
            <w:webHidden/>
          </w:rPr>
          <w:tab/>
        </w:r>
        <w:r>
          <w:rPr>
            <w:noProof/>
            <w:webHidden/>
          </w:rPr>
          <w:fldChar w:fldCharType="begin"/>
        </w:r>
        <w:r>
          <w:rPr>
            <w:noProof/>
            <w:webHidden/>
          </w:rPr>
          <w:instrText xml:space="preserve"> PAGEREF _Toc210582162 \h </w:instrText>
        </w:r>
        <w:r>
          <w:rPr>
            <w:noProof/>
            <w:webHidden/>
          </w:rPr>
        </w:r>
        <w:r>
          <w:rPr>
            <w:noProof/>
            <w:webHidden/>
          </w:rPr>
          <w:fldChar w:fldCharType="separate"/>
        </w:r>
        <w:r>
          <w:rPr>
            <w:noProof/>
            <w:webHidden/>
          </w:rPr>
          <w:t>2</w:t>
        </w:r>
        <w:r>
          <w:rPr>
            <w:noProof/>
            <w:webHidden/>
          </w:rPr>
          <w:fldChar w:fldCharType="end"/>
        </w:r>
      </w:hyperlink>
    </w:p>
    <w:p w14:paraId="22DDC389" w14:textId="58C56318" w:rsidR="008E7260" w:rsidRDefault="008E7260">
      <w:pPr>
        <w:pStyle w:val="30"/>
        <w:tabs>
          <w:tab w:val="right" w:leader="dot" w:pos="9350"/>
        </w:tabs>
        <w:rPr>
          <w:noProof/>
        </w:rPr>
      </w:pPr>
      <w:hyperlink w:anchor="_Toc210582163" w:history="1">
        <w:r w:rsidRPr="00EB42A7">
          <w:rPr>
            <w:rStyle w:val="ac"/>
            <w:rFonts w:ascii="Calibri" w:eastAsia="Google Sans" w:hAnsi="Calibri" w:cs="Calibri"/>
            <w:noProof/>
          </w:rPr>
          <w:t>1.1. Национальная энергетическая стратегия и снятие моратория</w:t>
        </w:r>
        <w:r>
          <w:rPr>
            <w:noProof/>
            <w:webHidden/>
          </w:rPr>
          <w:tab/>
        </w:r>
        <w:r>
          <w:rPr>
            <w:noProof/>
            <w:webHidden/>
          </w:rPr>
          <w:fldChar w:fldCharType="begin"/>
        </w:r>
        <w:r>
          <w:rPr>
            <w:noProof/>
            <w:webHidden/>
          </w:rPr>
          <w:instrText xml:space="preserve"> PAGEREF _Toc210582163 \h </w:instrText>
        </w:r>
        <w:r>
          <w:rPr>
            <w:noProof/>
            <w:webHidden/>
          </w:rPr>
        </w:r>
        <w:r>
          <w:rPr>
            <w:noProof/>
            <w:webHidden/>
          </w:rPr>
          <w:fldChar w:fldCharType="separate"/>
        </w:r>
        <w:r>
          <w:rPr>
            <w:noProof/>
            <w:webHidden/>
          </w:rPr>
          <w:t>2</w:t>
        </w:r>
        <w:r>
          <w:rPr>
            <w:noProof/>
            <w:webHidden/>
          </w:rPr>
          <w:fldChar w:fldCharType="end"/>
        </w:r>
      </w:hyperlink>
    </w:p>
    <w:p w14:paraId="30A32E92" w14:textId="2F01B79E" w:rsidR="008E7260" w:rsidRDefault="008E7260">
      <w:pPr>
        <w:pStyle w:val="30"/>
        <w:tabs>
          <w:tab w:val="right" w:leader="dot" w:pos="9350"/>
        </w:tabs>
        <w:rPr>
          <w:noProof/>
        </w:rPr>
      </w:pPr>
      <w:hyperlink w:anchor="_Toc210582164" w:history="1">
        <w:r w:rsidRPr="00EB42A7">
          <w:rPr>
            <w:rStyle w:val="ac"/>
            <w:rFonts w:ascii="Calibri" w:eastAsia="Google Sans" w:hAnsi="Calibri" w:cs="Calibri"/>
            <w:noProof/>
          </w:rPr>
          <w:t>1.2. Текущий ландшафт сотрудничества: Глобальный выбор вендоров</w:t>
        </w:r>
        <w:r>
          <w:rPr>
            <w:noProof/>
            <w:webHidden/>
          </w:rPr>
          <w:tab/>
        </w:r>
        <w:r>
          <w:rPr>
            <w:noProof/>
            <w:webHidden/>
          </w:rPr>
          <w:fldChar w:fldCharType="begin"/>
        </w:r>
        <w:r>
          <w:rPr>
            <w:noProof/>
            <w:webHidden/>
          </w:rPr>
          <w:instrText xml:space="preserve"> PAGEREF _Toc210582164 \h </w:instrText>
        </w:r>
        <w:r>
          <w:rPr>
            <w:noProof/>
            <w:webHidden/>
          </w:rPr>
        </w:r>
        <w:r>
          <w:rPr>
            <w:noProof/>
            <w:webHidden/>
          </w:rPr>
          <w:fldChar w:fldCharType="separate"/>
        </w:r>
        <w:r>
          <w:rPr>
            <w:noProof/>
            <w:webHidden/>
          </w:rPr>
          <w:t>2</w:t>
        </w:r>
        <w:r>
          <w:rPr>
            <w:noProof/>
            <w:webHidden/>
          </w:rPr>
          <w:fldChar w:fldCharType="end"/>
        </w:r>
      </w:hyperlink>
    </w:p>
    <w:p w14:paraId="7F3E672C" w14:textId="169409F5" w:rsidR="008E7260" w:rsidRDefault="008E7260">
      <w:pPr>
        <w:pStyle w:val="30"/>
        <w:tabs>
          <w:tab w:val="right" w:leader="dot" w:pos="9350"/>
        </w:tabs>
        <w:rPr>
          <w:noProof/>
        </w:rPr>
      </w:pPr>
      <w:hyperlink w:anchor="_Toc210582165" w:history="1">
        <w:r w:rsidRPr="00EB42A7">
          <w:rPr>
            <w:rStyle w:val="ac"/>
            <w:rFonts w:ascii="Calibri" w:eastAsia="Google Sans" w:hAnsi="Calibri" w:cs="Calibri"/>
            <w:noProof/>
          </w:rPr>
          <w:t>1.3. Геополитические риски и финансовые императивы</w:t>
        </w:r>
        <w:r>
          <w:rPr>
            <w:noProof/>
            <w:webHidden/>
          </w:rPr>
          <w:tab/>
        </w:r>
        <w:r>
          <w:rPr>
            <w:noProof/>
            <w:webHidden/>
          </w:rPr>
          <w:fldChar w:fldCharType="begin"/>
        </w:r>
        <w:r>
          <w:rPr>
            <w:noProof/>
            <w:webHidden/>
          </w:rPr>
          <w:instrText xml:space="preserve"> PAGEREF _Toc210582165 \h </w:instrText>
        </w:r>
        <w:r>
          <w:rPr>
            <w:noProof/>
            <w:webHidden/>
          </w:rPr>
        </w:r>
        <w:r>
          <w:rPr>
            <w:noProof/>
            <w:webHidden/>
          </w:rPr>
          <w:fldChar w:fldCharType="separate"/>
        </w:r>
        <w:r>
          <w:rPr>
            <w:noProof/>
            <w:webHidden/>
          </w:rPr>
          <w:t>3</w:t>
        </w:r>
        <w:r>
          <w:rPr>
            <w:noProof/>
            <w:webHidden/>
          </w:rPr>
          <w:fldChar w:fldCharType="end"/>
        </w:r>
      </w:hyperlink>
    </w:p>
    <w:p w14:paraId="1808FA29" w14:textId="11A2A5D6" w:rsidR="008E7260" w:rsidRDefault="008E7260">
      <w:pPr>
        <w:pStyle w:val="20"/>
        <w:tabs>
          <w:tab w:val="right" w:leader="dot" w:pos="9350"/>
        </w:tabs>
        <w:rPr>
          <w:noProof/>
        </w:rPr>
      </w:pPr>
      <w:hyperlink w:anchor="_Toc210582166" w:history="1">
        <w:r w:rsidRPr="00EB42A7">
          <w:rPr>
            <w:rStyle w:val="ac"/>
            <w:rFonts w:ascii="Calibri" w:eastAsia="Google Sans" w:hAnsi="Calibri" w:cs="Calibri"/>
            <w:noProof/>
          </w:rPr>
          <w:t>РАЗДЕЛ II: МЕТОДОЛОГИЧЕСКАЯ ОСНОВА МАГАТЭ</w:t>
        </w:r>
        <w:r>
          <w:rPr>
            <w:noProof/>
            <w:webHidden/>
          </w:rPr>
          <w:tab/>
        </w:r>
        <w:r>
          <w:rPr>
            <w:noProof/>
            <w:webHidden/>
          </w:rPr>
          <w:fldChar w:fldCharType="begin"/>
        </w:r>
        <w:r>
          <w:rPr>
            <w:noProof/>
            <w:webHidden/>
          </w:rPr>
          <w:instrText xml:space="preserve"> PAGEREF _Toc210582166 \h </w:instrText>
        </w:r>
        <w:r>
          <w:rPr>
            <w:noProof/>
            <w:webHidden/>
          </w:rPr>
        </w:r>
        <w:r>
          <w:rPr>
            <w:noProof/>
            <w:webHidden/>
          </w:rPr>
          <w:fldChar w:fldCharType="separate"/>
        </w:r>
        <w:r>
          <w:rPr>
            <w:noProof/>
            <w:webHidden/>
          </w:rPr>
          <w:t>4</w:t>
        </w:r>
        <w:r>
          <w:rPr>
            <w:noProof/>
            <w:webHidden/>
          </w:rPr>
          <w:fldChar w:fldCharType="end"/>
        </w:r>
      </w:hyperlink>
    </w:p>
    <w:p w14:paraId="2B71B9A8" w14:textId="281E0861" w:rsidR="008E7260" w:rsidRDefault="008E7260">
      <w:pPr>
        <w:pStyle w:val="30"/>
        <w:tabs>
          <w:tab w:val="right" w:leader="dot" w:pos="9350"/>
        </w:tabs>
        <w:rPr>
          <w:noProof/>
        </w:rPr>
      </w:pPr>
      <w:hyperlink w:anchor="_Toc210582167" w:history="1">
        <w:r w:rsidRPr="00EB42A7">
          <w:rPr>
            <w:rStyle w:val="ac"/>
            <w:rFonts w:ascii="Calibri" w:eastAsia="Google Sans" w:hAnsi="Calibri" w:cs="Calibri"/>
            <w:noProof/>
          </w:rPr>
          <w:t>2.1. Концепция "Вех" МАГАТЭ NG-G-3.1</w:t>
        </w:r>
        <w:r>
          <w:rPr>
            <w:noProof/>
            <w:webHidden/>
          </w:rPr>
          <w:tab/>
        </w:r>
        <w:r>
          <w:rPr>
            <w:noProof/>
            <w:webHidden/>
          </w:rPr>
          <w:fldChar w:fldCharType="begin"/>
        </w:r>
        <w:r>
          <w:rPr>
            <w:noProof/>
            <w:webHidden/>
          </w:rPr>
          <w:instrText xml:space="preserve"> PAGEREF _Toc210582167 \h </w:instrText>
        </w:r>
        <w:r>
          <w:rPr>
            <w:noProof/>
            <w:webHidden/>
          </w:rPr>
        </w:r>
        <w:r>
          <w:rPr>
            <w:noProof/>
            <w:webHidden/>
          </w:rPr>
          <w:fldChar w:fldCharType="separate"/>
        </w:r>
        <w:r>
          <w:rPr>
            <w:noProof/>
            <w:webHidden/>
          </w:rPr>
          <w:t>4</w:t>
        </w:r>
        <w:r>
          <w:rPr>
            <w:noProof/>
            <w:webHidden/>
          </w:rPr>
          <w:fldChar w:fldCharType="end"/>
        </w:r>
      </w:hyperlink>
    </w:p>
    <w:p w14:paraId="44EC35CD" w14:textId="2448BCF2" w:rsidR="008E7260" w:rsidRDefault="008E7260">
      <w:pPr>
        <w:pStyle w:val="30"/>
        <w:tabs>
          <w:tab w:val="right" w:leader="dot" w:pos="9350"/>
        </w:tabs>
        <w:rPr>
          <w:noProof/>
        </w:rPr>
      </w:pPr>
      <w:hyperlink w:anchor="_Toc210582168" w:history="1">
        <w:r w:rsidRPr="00EB42A7">
          <w:rPr>
            <w:rStyle w:val="ac"/>
            <w:rFonts w:ascii="Calibri" w:eastAsia="Google Sans" w:hAnsi="Calibri" w:cs="Calibri"/>
            <w:noProof/>
          </w:rPr>
          <w:t>2.2. Фазы развития национальной инфраструктуры и их продолжительность</w:t>
        </w:r>
        <w:r>
          <w:rPr>
            <w:noProof/>
            <w:webHidden/>
          </w:rPr>
          <w:tab/>
        </w:r>
        <w:r>
          <w:rPr>
            <w:noProof/>
            <w:webHidden/>
          </w:rPr>
          <w:fldChar w:fldCharType="begin"/>
        </w:r>
        <w:r>
          <w:rPr>
            <w:noProof/>
            <w:webHidden/>
          </w:rPr>
          <w:instrText xml:space="preserve"> PAGEREF _Toc210582168 \h </w:instrText>
        </w:r>
        <w:r>
          <w:rPr>
            <w:noProof/>
            <w:webHidden/>
          </w:rPr>
        </w:r>
        <w:r>
          <w:rPr>
            <w:noProof/>
            <w:webHidden/>
          </w:rPr>
          <w:fldChar w:fldCharType="separate"/>
        </w:r>
        <w:r>
          <w:rPr>
            <w:noProof/>
            <w:webHidden/>
          </w:rPr>
          <w:t>4</w:t>
        </w:r>
        <w:r>
          <w:rPr>
            <w:noProof/>
            <w:webHidden/>
          </w:rPr>
          <w:fldChar w:fldCharType="end"/>
        </w:r>
      </w:hyperlink>
    </w:p>
    <w:p w14:paraId="34D8D629" w14:textId="36994C6E" w:rsidR="008E7260" w:rsidRDefault="008E7260">
      <w:pPr>
        <w:pStyle w:val="30"/>
        <w:tabs>
          <w:tab w:val="right" w:leader="dot" w:pos="9350"/>
        </w:tabs>
        <w:rPr>
          <w:noProof/>
        </w:rPr>
      </w:pPr>
      <w:hyperlink w:anchor="_Toc210582169" w:history="1">
        <w:r w:rsidRPr="00EB42A7">
          <w:rPr>
            <w:rStyle w:val="ac"/>
            <w:rFonts w:ascii="Calibri" w:eastAsia="Google Sans" w:hAnsi="Calibri" w:cs="Calibri"/>
            <w:noProof/>
          </w:rPr>
          <w:t>2.3. Анализ продолжительности строительства по TECHNICAL REPORTS SERIES No. 279</w:t>
        </w:r>
        <w:r>
          <w:rPr>
            <w:noProof/>
            <w:webHidden/>
          </w:rPr>
          <w:tab/>
        </w:r>
        <w:r>
          <w:rPr>
            <w:noProof/>
            <w:webHidden/>
          </w:rPr>
          <w:fldChar w:fldCharType="begin"/>
        </w:r>
        <w:r>
          <w:rPr>
            <w:noProof/>
            <w:webHidden/>
          </w:rPr>
          <w:instrText xml:space="preserve"> PAGEREF _Toc210582169 \h </w:instrText>
        </w:r>
        <w:r>
          <w:rPr>
            <w:noProof/>
            <w:webHidden/>
          </w:rPr>
        </w:r>
        <w:r>
          <w:rPr>
            <w:noProof/>
            <w:webHidden/>
          </w:rPr>
          <w:fldChar w:fldCharType="separate"/>
        </w:r>
        <w:r>
          <w:rPr>
            <w:noProof/>
            <w:webHidden/>
          </w:rPr>
          <w:t>5</w:t>
        </w:r>
        <w:r>
          <w:rPr>
            <w:noProof/>
            <w:webHidden/>
          </w:rPr>
          <w:fldChar w:fldCharType="end"/>
        </w:r>
      </w:hyperlink>
    </w:p>
    <w:p w14:paraId="7D9CB0D1" w14:textId="0C7D3315" w:rsidR="008E7260" w:rsidRDefault="008E7260">
      <w:pPr>
        <w:pStyle w:val="20"/>
        <w:tabs>
          <w:tab w:val="right" w:leader="dot" w:pos="9350"/>
        </w:tabs>
        <w:rPr>
          <w:noProof/>
        </w:rPr>
      </w:pPr>
      <w:hyperlink w:anchor="_Toc210582170" w:history="1">
        <w:r w:rsidRPr="00EB42A7">
          <w:rPr>
            <w:rStyle w:val="ac"/>
            <w:rFonts w:ascii="Calibri" w:eastAsia="Google Sans" w:hAnsi="Calibri" w:cs="Calibri"/>
            <w:noProof/>
          </w:rPr>
          <w:t>РАЗДЕЛ III: АНАЛИЗ ПРЕДЛОЖЕНИЙ КРУПНОМАСШТАБНЫХ АЭС</w:t>
        </w:r>
        <w:r>
          <w:rPr>
            <w:noProof/>
            <w:webHidden/>
          </w:rPr>
          <w:tab/>
        </w:r>
        <w:r>
          <w:rPr>
            <w:noProof/>
            <w:webHidden/>
          </w:rPr>
          <w:fldChar w:fldCharType="begin"/>
        </w:r>
        <w:r>
          <w:rPr>
            <w:noProof/>
            <w:webHidden/>
          </w:rPr>
          <w:instrText xml:space="preserve"> PAGEREF _Toc210582170 \h </w:instrText>
        </w:r>
        <w:r>
          <w:rPr>
            <w:noProof/>
            <w:webHidden/>
          </w:rPr>
        </w:r>
        <w:r>
          <w:rPr>
            <w:noProof/>
            <w:webHidden/>
          </w:rPr>
          <w:fldChar w:fldCharType="separate"/>
        </w:r>
        <w:r>
          <w:rPr>
            <w:noProof/>
            <w:webHidden/>
          </w:rPr>
          <w:t>6</w:t>
        </w:r>
        <w:r>
          <w:rPr>
            <w:noProof/>
            <w:webHidden/>
          </w:rPr>
          <w:fldChar w:fldCharType="end"/>
        </w:r>
      </w:hyperlink>
    </w:p>
    <w:p w14:paraId="7F383E87" w14:textId="151670CF" w:rsidR="008E7260" w:rsidRDefault="008E7260">
      <w:pPr>
        <w:pStyle w:val="30"/>
        <w:tabs>
          <w:tab w:val="right" w:leader="dot" w:pos="9350"/>
        </w:tabs>
        <w:rPr>
          <w:noProof/>
        </w:rPr>
      </w:pPr>
      <w:hyperlink w:anchor="_Toc210582171" w:history="1">
        <w:r w:rsidRPr="00EB42A7">
          <w:rPr>
            <w:rStyle w:val="ac"/>
            <w:rFonts w:ascii="Calibri" w:eastAsia="Google Sans" w:hAnsi="Calibri" w:cs="Calibri"/>
            <w:noProof/>
          </w:rPr>
          <w:t>3.1. Россия (Rosatom): ВВЭР-1200</w:t>
        </w:r>
        <w:r>
          <w:rPr>
            <w:noProof/>
            <w:webHidden/>
          </w:rPr>
          <w:tab/>
        </w:r>
        <w:r>
          <w:rPr>
            <w:noProof/>
            <w:webHidden/>
          </w:rPr>
          <w:fldChar w:fldCharType="begin"/>
        </w:r>
        <w:r>
          <w:rPr>
            <w:noProof/>
            <w:webHidden/>
          </w:rPr>
          <w:instrText xml:space="preserve"> PAGEREF _Toc210582171 \h </w:instrText>
        </w:r>
        <w:r>
          <w:rPr>
            <w:noProof/>
            <w:webHidden/>
          </w:rPr>
        </w:r>
        <w:r>
          <w:rPr>
            <w:noProof/>
            <w:webHidden/>
          </w:rPr>
          <w:fldChar w:fldCharType="separate"/>
        </w:r>
        <w:r>
          <w:rPr>
            <w:noProof/>
            <w:webHidden/>
          </w:rPr>
          <w:t>6</w:t>
        </w:r>
        <w:r>
          <w:rPr>
            <w:noProof/>
            <w:webHidden/>
          </w:rPr>
          <w:fldChar w:fldCharType="end"/>
        </w:r>
      </w:hyperlink>
    </w:p>
    <w:p w14:paraId="2BC3C3F2" w14:textId="294CE800" w:rsidR="008E7260" w:rsidRDefault="008E7260">
      <w:pPr>
        <w:pStyle w:val="30"/>
        <w:tabs>
          <w:tab w:val="right" w:leader="dot" w:pos="9350"/>
        </w:tabs>
        <w:rPr>
          <w:noProof/>
        </w:rPr>
      </w:pPr>
      <w:hyperlink w:anchor="_Toc210582172" w:history="1">
        <w:r w:rsidRPr="00EB42A7">
          <w:rPr>
            <w:rStyle w:val="ac"/>
            <w:rFonts w:ascii="Calibri" w:eastAsia="Google Sans" w:hAnsi="Calibri" w:cs="Calibri"/>
            <w:noProof/>
          </w:rPr>
          <w:t>3.2. Южная Корея (KHNP): APR-1400</w:t>
        </w:r>
        <w:r>
          <w:rPr>
            <w:noProof/>
            <w:webHidden/>
          </w:rPr>
          <w:tab/>
        </w:r>
        <w:r>
          <w:rPr>
            <w:noProof/>
            <w:webHidden/>
          </w:rPr>
          <w:fldChar w:fldCharType="begin"/>
        </w:r>
        <w:r>
          <w:rPr>
            <w:noProof/>
            <w:webHidden/>
          </w:rPr>
          <w:instrText xml:space="preserve"> PAGEREF _Toc210582172 \h </w:instrText>
        </w:r>
        <w:r>
          <w:rPr>
            <w:noProof/>
            <w:webHidden/>
          </w:rPr>
        </w:r>
        <w:r>
          <w:rPr>
            <w:noProof/>
            <w:webHidden/>
          </w:rPr>
          <w:fldChar w:fldCharType="separate"/>
        </w:r>
        <w:r>
          <w:rPr>
            <w:noProof/>
            <w:webHidden/>
          </w:rPr>
          <w:t>6</w:t>
        </w:r>
        <w:r>
          <w:rPr>
            <w:noProof/>
            <w:webHidden/>
          </w:rPr>
          <w:fldChar w:fldCharType="end"/>
        </w:r>
      </w:hyperlink>
    </w:p>
    <w:p w14:paraId="1040DAFB" w14:textId="21A15ED6" w:rsidR="008E7260" w:rsidRDefault="008E7260">
      <w:pPr>
        <w:pStyle w:val="30"/>
        <w:tabs>
          <w:tab w:val="right" w:leader="dot" w:pos="9350"/>
        </w:tabs>
        <w:rPr>
          <w:noProof/>
        </w:rPr>
      </w:pPr>
      <w:hyperlink w:anchor="_Toc210582173" w:history="1">
        <w:r w:rsidRPr="00EB42A7">
          <w:rPr>
            <w:rStyle w:val="ac"/>
            <w:rFonts w:ascii="Calibri" w:eastAsia="Google Sans" w:hAnsi="Calibri" w:cs="Calibri"/>
            <w:noProof/>
          </w:rPr>
          <w:t>3.3. Франция (EDF): EPR2</w:t>
        </w:r>
        <w:r>
          <w:rPr>
            <w:noProof/>
            <w:webHidden/>
          </w:rPr>
          <w:tab/>
        </w:r>
        <w:r>
          <w:rPr>
            <w:noProof/>
            <w:webHidden/>
          </w:rPr>
          <w:fldChar w:fldCharType="begin"/>
        </w:r>
        <w:r>
          <w:rPr>
            <w:noProof/>
            <w:webHidden/>
          </w:rPr>
          <w:instrText xml:space="preserve"> PAGEREF _Toc210582173 \h </w:instrText>
        </w:r>
        <w:r>
          <w:rPr>
            <w:noProof/>
            <w:webHidden/>
          </w:rPr>
        </w:r>
        <w:r>
          <w:rPr>
            <w:noProof/>
            <w:webHidden/>
          </w:rPr>
          <w:fldChar w:fldCharType="separate"/>
        </w:r>
        <w:r>
          <w:rPr>
            <w:noProof/>
            <w:webHidden/>
          </w:rPr>
          <w:t>6</w:t>
        </w:r>
        <w:r>
          <w:rPr>
            <w:noProof/>
            <w:webHidden/>
          </w:rPr>
          <w:fldChar w:fldCharType="end"/>
        </w:r>
      </w:hyperlink>
    </w:p>
    <w:p w14:paraId="231D8E46" w14:textId="4B819716" w:rsidR="008E7260" w:rsidRDefault="008E7260">
      <w:pPr>
        <w:pStyle w:val="30"/>
        <w:tabs>
          <w:tab w:val="right" w:leader="dot" w:pos="9350"/>
        </w:tabs>
        <w:rPr>
          <w:noProof/>
        </w:rPr>
      </w:pPr>
      <w:hyperlink w:anchor="_Toc210582174" w:history="1">
        <w:r w:rsidRPr="00EB42A7">
          <w:rPr>
            <w:rStyle w:val="ac"/>
            <w:rFonts w:ascii="Calibri" w:eastAsia="Google Sans" w:hAnsi="Calibri" w:cs="Calibri"/>
            <w:noProof/>
          </w:rPr>
          <w:t>3.4. США (Westinghouse): AP1000</w:t>
        </w:r>
        <w:r>
          <w:rPr>
            <w:noProof/>
            <w:webHidden/>
          </w:rPr>
          <w:tab/>
        </w:r>
        <w:r>
          <w:rPr>
            <w:noProof/>
            <w:webHidden/>
          </w:rPr>
          <w:fldChar w:fldCharType="begin"/>
        </w:r>
        <w:r>
          <w:rPr>
            <w:noProof/>
            <w:webHidden/>
          </w:rPr>
          <w:instrText xml:space="preserve"> PAGEREF _Toc210582174 \h </w:instrText>
        </w:r>
        <w:r>
          <w:rPr>
            <w:noProof/>
            <w:webHidden/>
          </w:rPr>
        </w:r>
        <w:r>
          <w:rPr>
            <w:noProof/>
            <w:webHidden/>
          </w:rPr>
          <w:fldChar w:fldCharType="separate"/>
        </w:r>
        <w:r>
          <w:rPr>
            <w:noProof/>
            <w:webHidden/>
          </w:rPr>
          <w:t>7</w:t>
        </w:r>
        <w:r>
          <w:rPr>
            <w:noProof/>
            <w:webHidden/>
          </w:rPr>
          <w:fldChar w:fldCharType="end"/>
        </w:r>
      </w:hyperlink>
    </w:p>
    <w:p w14:paraId="3FE7EB05" w14:textId="72139072" w:rsidR="008E7260" w:rsidRDefault="008E7260">
      <w:pPr>
        <w:pStyle w:val="30"/>
        <w:tabs>
          <w:tab w:val="right" w:leader="dot" w:pos="9350"/>
        </w:tabs>
        <w:rPr>
          <w:noProof/>
        </w:rPr>
      </w:pPr>
      <w:hyperlink w:anchor="_Toc210582175" w:history="1">
        <w:r w:rsidRPr="00EB42A7">
          <w:rPr>
            <w:rStyle w:val="ac"/>
            <w:rFonts w:ascii="Calibri" w:eastAsia="Google Sans" w:hAnsi="Calibri" w:cs="Calibri"/>
            <w:noProof/>
          </w:rPr>
          <w:t>3.5. Китай (CNNC/CGN): HPR1000</w:t>
        </w:r>
        <w:r>
          <w:rPr>
            <w:noProof/>
            <w:webHidden/>
          </w:rPr>
          <w:tab/>
        </w:r>
        <w:r>
          <w:rPr>
            <w:noProof/>
            <w:webHidden/>
          </w:rPr>
          <w:fldChar w:fldCharType="begin"/>
        </w:r>
        <w:r>
          <w:rPr>
            <w:noProof/>
            <w:webHidden/>
          </w:rPr>
          <w:instrText xml:space="preserve"> PAGEREF _Toc210582175 \h </w:instrText>
        </w:r>
        <w:r>
          <w:rPr>
            <w:noProof/>
            <w:webHidden/>
          </w:rPr>
        </w:r>
        <w:r>
          <w:rPr>
            <w:noProof/>
            <w:webHidden/>
          </w:rPr>
          <w:fldChar w:fldCharType="separate"/>
        </w:r>
        <w:r>
          <w:rPr>
            <w:noProof/>
            <w:webHidden/>
          </w:rPr>
          <w:t>7</w:t>
        </w:r>
        <w:r>
          <w:rPr>
            <w:noProof/>
            <w:webHidden/>
          </w:rPr>
          <w:fldChar w:fldCharType="end"/>
        </w:r>
      </w:hyperlink>
    </w:p>
    <w:p w14:paraId="3F30059E" w14:textId="5F71A96B" w:rsidR="008E7260" w:rsidRDefault="008E7260">
      <w:pPr>
        <w:pStyle w:val="20"/>
        <w:tabs>
          <w:tab w:val="right" w:leader="dot" w:pos="9350"/>
        </w:tabs>
        <w:rPr>
          <w:noProof/>
        </w:rPr>
      </w:pPr>
      <w:hyperlink w:anchor="_Toc210582176" w:history="1">
        <w:r w:rsidRPr="00EB42A7">
          <w:rPr>
            <w:rStyle w:val="ac"/>
            <w:rFonts w:ascii="Calibri" w:eastAsia="Google Sans" w:hAnsi="Calibri" w:cs="Calibri"/>
            <w:noProof/>
          </w:rPr>
          <w:t>РАЗДЕЛ IV: АНАЛИЗ ПРЕДЛОЖЕНИЙ МАЛЫХ МОДУЛЬНЫХ РЕАКТОРОВ (ММР)</w:t>
        </w:r>
        <w:r>
          <w:rPr>
            <w:noProof/>
            <w:webHidden/>
          </w:rPr>
          <w:tab/>
        </w:r>
        <w:r>
          <w:rPr>
            <w:noProof/>
            <w:webHidden/>
          </w:rPr>
          <w:fldChar w:fldCharType="begin"/>
        </w:r>
        <w:r>
          <w:rPr>
            <w:noProof/>
            <w:webHidden/>
          </w:rPr>
          <w:instrText xml:space="preserve"> PAGEREF _Toc210582176 \h </w:instrText>
        </w:r>
        <w:r>
          <w:rPr>
            <w:noProof/>
            <w:webHidden/>
          </w:rPr>
        </w:r>
        <w:r>
          <w:rPr>
            <w:noProof/>
            <w:webHidden/>
          </w:rPr>
          <w:fldChar w:fldCharType="separate"/>
        </w:r>
        <w:r>
          <w:rPr>
            <w:noProof/>
            <w:webHidden/>
          </w:rPr>
          <w:t>8</w:t>
        </w:r>
        <w:r>
          <w:rPr>
            <w:noProof/>
            <w:webHidden/>
          </w:rPr>
          <w:fldChar w:fldCharType="end"/>
        </w:r>
      </w:hyperlink>
    </w:p>
    <w:p w14:paraId="30546055" w14:textId="32933BFE" w:rsidR="008E7260" w:rsidRDefault="008E7260">
      <w:pPr>
        <w:pStyle w:val="30"/>
        <w:tabs>
          <w:tab w:val="right" w:leader="dot" w:pos="9350"/>
        </w:tabs>
        <w:rPr>
          <w:noProof/>
        </w:rPr>
      </w:pPr>
      <w:hyperlink w:anchor="_Toc210582177" w:history="1">
        <w:r w:rsidRPr="00EB42A7">
          <w:rPr>
            <w:rStyle w:val="ac"/>
            <w:rFonts w:ascii="Calibri" w:eastAsia="Google Sans" w:hAnsi="Calibri" w:cs="Calibri"/>
            <w:noProof/>
          </w:rPr>
          <w:t>4.1. Концепция ММР: Преимущества и экономика</w:t>
        </w:r>
        <w:r>
          <w:rPr>
            <w:noProof/>
            <w:webHidden/>
          </w:rPr>
          <w:tab/>
        </w:r>
        <w:r>
          <w:rPr>
            <w:noProof/>
            <w:webHidden/>
          </w:rPr>
          <w:fldChar w:fldCharType="begin"/>
        </w:r>
        <w:r>
          <w:rPr>
            <w:noProof/>
            <w:webHidden/>
          </w:rPr>
          <w:instrText xml:space="preserve"> PAGEREF _Toc210582177 \h </w:instrText>
        </w:r>
        <w:r>
          <w:rPr>
            <w:noProof/>
            <w:webHidden/>
          </w:rPr>
        </w:r>
        <w:r>
          <w:rPr>
            <w:noProof/>
            <w:webHidden/>
          </w:rPr>
          <w:fldChar w:fldCharType="separate"/>
        </w:r>
        <w:r>
          <w:rPr>
            <w:noProof/>
            <w:webHidden/>
          </w:rPr>
          <w:t>8</w:t>
        </w:r>
        <w:r>
          <w:rPr>
            <w:noProof/>
            <w:webHidden/>
          </w:rPr>
          <w:fldChar w:fldCharType="end"/>
        </w:r>
      </w:hyperlink>
    </w:p>
    <w:p w14:paraId="30005FDE" w14:textId="7715CEFB" w:rsidR="008E7260" w:rsidRDefault="008E7260">
      <w:pPr>
        <w:pStyle w:val="30"/>
        <w:tabs>
          <w:tab w:val="right" w:leader="dot" w:pos="9350"/>
        </w:tabs>
        <w:rPr>
          <w:noProof/>
        </w:rPr>
      </w:pPr>
      <w:hyperlink w:anchor="_Toc210582178" w:history="1">
        <w:r w:rsidRPr="00EB42A7">
          <w:rPr>
            <w:rStyle w:val="ac"/>
            <w:rFonts w:ascii="Calibri" w:eastAsia="Google Sans" w:hAnsi="Calibri" w:cs="Calibri"/>
            <w:noProof/>
          </w:rPr>
          <w:t>4.2. Обзор ключевых технологий ММР и разрыв FOAK–NOAK</w:t>
        </w:r>
        <w:r>
          <w:rPr>
            <w:noProof/>
            <w:webHidden/>
          </w:rPr>
          <w:tab/>
        </w:r>
        <w:r>
          <w:rPr>
            <w:noProof/>
            <w:webHidden/>
          </w:rPr>
          <w:fldChar w:fldCharType="begin"/>
        </w:r>
        <w:r>
          <w:rPr>
            <w:noProof/>
            <w:webHidden/>
          </w:rPr>
          <w:instrText xml:space="preserve"> PAGEREF _Toc210582178 \h </w:instrText>
        </w:r>
        <w:r>
          <w:rPr>
            <w:noProof/>
            <w:webHidden/>
          </w:rPr>
        </w:r>
        <w:r>
          <w:rPr>
            <w:noProof/>
            <w:webHidden/>
          </w:rPr>
          <w:fldChar w:fldCharType="separate"/>
        </w:r>
        <w:r>
          <w:rPr>
            <w:noProof/>
            <w:webHidden/>
          </w:rPr>
          <w:t>9</w:t>
        </w:r>
        <w:r>
          <w:rPr>
            <w:noProof/>
            <w:webHidden/>
          </w:rPr>
          <w:fldChar w:fldCharType="end"/>
        </w:r>
      </w:hyperlink>
    </w:p>
    <w:p w14:paraId="196A89F6" w14:textId="4B8B6881" w:rsidR="008E7260" w:rsidRDefault="008E7260">
      <w:pPr>
        <w:pStyle w:val="20"/>
        <w:tabs>
          <w:tab w:val="right" w:leader="dot" w:pos="9350"/>
        </w:tabs>
        <w:rPr>
          <w:noProof/>
        </w:rPr>
      </w:pPr>
      <w:hyperlink w:anchor="_Toc210582179" w:history="1">
        <w:r w:rsidRPr="00EB42A7">
          <w:rPr>
            <w:rStyle w:val="ac"/>
            <w:rFonts w:ascii="Calibri" w:eastAsia="Google Sans" w:hAnsi="Calibri" w:cs="Calibri"/>
            <w:noProof/>
          </w:rPr>
          <w:t>РАЗДЕЛ V: СВОДНЫЙ АНАЛИЗ СРОКОВ И ПРОЕКТНЫХ ВЕХ</w:t>
        </w:r>
        <w:r>
          <w:rPr>
            <w:noProof/>
            <w:webHidden/>
          </w:rPr>
          <w:tab/>
        </w:r>
        <w:r>
          <w:rPr>
            <w:noProof/>
            <w:webHidden/>
          </w:rPr>
          <w:fldChar w:fldCharType="begin"/>
        </w:r>
        <w:r>
          <w:rPr>
            <w:noProof/>
            <w:webHidden/>
          </w:rPr>
          <w:instrText xml:space="preserve"> PAGEREF _Toc210582179 \h </w:instrText>
        </w:r>
        <w:r>
          <w:rPr>
            <w:noProof/>
            <w:webHidden/>
          </w:rPr>
        </w:r>
        <w:r>
          <w:rPr>
            <w:noProof/>
            <w:webHidden/>
          </w:rPr>
          <w:fldChar w:fldCharType="separate"/>
        </w:r>
        <w:r>
          <w:rPr>
            <w:noProof/>
            <w:webHidden/>
          </w:rPr>
          <w:t>10</w:t>
        </w:r>
        <w:r>
          <w:rPr>
            <w:noProof/>
            <w:webHidden/>
          </w:rPr>
          <w:fldChar w:fldCharType="end"/>
        </w:r>
      </w:hyperlink>
    </w:p>
    <w:p w14:paraId="273B72B1" w14:textId="10FD4829" w:rsidR="008E7260" w:rsidRDefault="008E7260">
      <w:pPr>
        <w:pStyle w:val="30"/>
        <w:tabs>
          <w:tab w:val="right" w:leader="dot" w:pos="9350"/>
        </w:tabs>
        <w:rPr>
          <w:noProof/>
        </w:rPr>
      </w:pPr>
      <w:hyperlink w:anchor="_Toc210582180" w:history="1">
        <w:r w:rsidRPr="00EB42A7">
          <w:rPr>
            <w:rStyle w:val="ac"/>
            <w:rFonts w:ascii="Calibri" w:eastAsia="Google Sans" w:hAnsi="Calibri" w:cs="Calibri"/>
            <w:noProof/>
          </w:rPr>
          <w:t>5.1. Моделирование общей продолжительности проекта для Сербии</w:t>
        </w:r>
        <w:r>
          <w:rPr>
            <w:noProof/>
            <w:webHidden/>
          </w:rPr>
          <w:tab/>
        </w:r>
        <w:r>
          <w:rPr>
            <w:noProof/>
            <w:webHidden/>
          </w:rPr>
          <w:fldChar w:fldCharType="begin"/>
        </w:r>
        <w:r>
          <w:rPr>
            <w:noProof/>
            <w:webHidden/>
          </w:rPr>
          <w:instrText xml:space="preserve"> PAGEREF _Toc210582180 \h </w:instrText>
        </w:r>
        <w:r>
          <w:rPr>
            <w:noProof/>
            <w:webHidden/>
          </w:rPr>
        </w:r>
        <w:r>
          <w:rPr>
            <w:noProof/>
            <w:webHidden/>
          </w:rPr>
          <w:fldChar w:fldCharType="separate"/>
        </w:r>
        <w:r>
          <w:rPr>
            <w:noProof/>
            <w:webHidden/>
          </w:rPr>
          <w:t>10</w:t>
        </w:r>
        <w:r>
          <w:rPr>
            <w:noProof/>
            <w:webHidden/>
          </w:rPr>
          <w:fldChar w:fldCharType="end"/>
        </w:r>
      </w:hyperlink>
    </w:p>
    <w:p w14:paraId="2EABBF5A" w14:textId="4B64DE89" w:rsidR="008E7260" w:rsidRDefault="008E7260">
      <w:pPr>
        <w:pStyle w:val="30"/>
        <w:tabs>
          <w:tab w:val="right" w:leader="dot" w:pos="9350"/>
        </w:tabs>
        <w:rPr>
          <w:noProof/>
        </w:rPr>
      </w:pPr>
      <w:hyperlink w:anchor="_Toc210582181" w:history="1">
        <w:r w:rsidRPr="00EB42A7">
          <w:rPr>
            <w:rStyle w:val="ac"/>
            <w:rFonts w:ascii="Calibri" w:eastAsia="Google Sans" w:hAnsi="Calibri" w:cs="Calibri"/>
            <w:noProof/>
          </w:rPr>
          <w:t>5.2. Сравнительный анализ сроков строительства и ввода в эксплуатацию</w:t>
        </w:r>
        <w:r>
          <w:rPr>
            <w:noProof/>
            <w:webHidden/>
          </w:rPr>
          <w:tab/>
        </w:r>
        <w:r>
          <w:rPr>
            <w:noProof/>
            <w:webHidden/>
          </w:rPr>
          <w:fldChar w:fldCharType="begin"/>
        </w:r>
        <w:r>
          <w:rPr>
            <w:noProof/>
            <w:webHidden/>
          </w:rPr>
          <w:instrText xml:space="preserve"> PAGEREF _Toc210582181 \h </w:instrText>
        </w:r>
        <w:r>
          <w:rPr>
            <w:noProof/>
            <w:webHidden/>
          </w:rPr>
        </w:r>
        <w:r>
          <w:rPr>
            <w:noProof/>
            <w:webHidden/>
          </w:rPr>
          <w:fldChar w:fldCharType="separate"/>
        </w:r>
        <w:r>
          <w:rPr>
            <w:noProof/>
            <w:webHidden/>
          </w:rPr>
          <w:t>11</w:t>
        </w:r>
        <w:r>
          <w:rPr>
            <w:noProof/>
            <w:webHidden/>
          </w:rPr>
          <w:fldChar w:fldCharType="end"/>
        </w:r>
      </w:hyperlink>
    </w:p>
    <w:p w14:paraId="0DD8AB60" w14:textId="36B45DFE" w:rsidR="008E7260" w:rsidRDefault="008E7260">
      <w:pPr>
        <w:pStyle w:val="30"/>
        <w:tabs>
          <w:tab w:val="right" w:leader="dot" w:pos="9350"/>
        </w:tabs>
        <w:rPr>
          <w:noProof/>
        </w:rPr>
      </w:pPr>
      <w:hyperlink w:anchor="_Toc210582182" w:history="1">
        <w:r w:rsidRPr="00EB42A7">
          <w:rPr>
            <w:rStyle w:val="ac"/>
            <w:rFonts w:ascii="Calibri" w:eastAsia="Google Sans" w:hAnsi="Calibri" w:cs="Calibri"/>
            <w:noProof/>
          </w:rPr>
          <w:t>5.3. Обязательная таблица: Ожидаемая продолжительность этапов и вех по МАГАТЭ</w:t>
        </w:r>
        <w:r>
          <w:rPr>
            <w:noProof/>
            <w:webHidden/>
          </w:rPr>
          <w:tab/>
        </w:r>
        <w:r>
          <w:rPr>
            <w:noProof/>
            <w:webHidden/>
          </w:rPr>
          <w:fldChar w:fldCharType="begin"/>
        </w:r>
        <w:r>
          <w:rPr>
            <w:noProof/>
            <w:webHidden/>
          </w:rPr>
          <w:instrText xml:space="preserve"> PAGEREF _Toc210582182 \h </w:instrText>
        </w:r>
        <w:r>
          <w:rPr>
            <w:noProof/>
            <w:webHidden/>
          </w:rPr>
        </w:r>
        <w:r>
          <w:rPr>
            <w:noProof/>
            <w:webHidden/>
          </w:rPr>
          <w:fldChar w:fldCharType="separate"/>
        </w:r>
        <w:r>
          <w:rPr>
            <w:noProof/>
            <w:webHidden/>
          </w:rPr>
          <w:t>11</w:t>
        </w:r>
        <w:r>
          <w:rPr>
            <w:noProof/>
            <w:webHidden/>
          </w:rPr>
          <w:fldChar w:fldCharType="end"/>
        </w:r>
      </w:hyperlink>
    </w:p>
    <w:p w14:paraId="4C3346E2" w14:textId="07DA9082" w:rsidR="008E7260" w:rsidRDefault="008E7260">
      <w:pPr>
        <w:pStyle w:val="20"/>
        <w:tabs>
          <w:tab w:val="right" w:leader="dot" w:pos="9350"/>
        </w:tabs>
        <w:rPr>
          <w:noProof/>
        </w:rPr>
      </w:pPr>
      <w:hyperlink w:anchor="_Toc210582183" w:history="1">
        <w:r w:rsidRPr="00EB42A7">
          <w:rPr>
            <w:rStyle w:val="ac"/>
            <w:rFonts w:ascii="Calibri" w:eastAsia="Google Sans" w:hAnsi="Calibri" w:cs="Calibri"/>
            <w:noProof/>
          </w:rPr>
          <w:t>РАЗДЕЛ VI: ВЫВОДЫ И СТРАТЕГИЧЕСКИЕ РЕКОМЕНДАЦИИ</w:t>
        </w:r>
        <w:r>
          <w:rPr>
            <w:noProof/>
            <w:webHidden/>
          </w:rPr>
          <w:tab/>
        </w:r>
        <w:r>
          <w:rPr>
            <w:noProof/>
            <w:webHidden/>
          </w:rPr>
          <w:fldChar w:fldCharType="begin"/>
        </w:r>
        <w:r>
          <w:rPr>
            <w:noProof/>
            <w:webHidden/>
          </w:rPr>
          <w:instrText xml:space="preserve"> PAGEREF _Toc210582183 \h </w:instrText>
        </w:r>
        <w:r>
          <w:rPr>
            <w:noProof/>
            <w:webHidden/>
          </w:rPr>
        </w:r>
        <w:r>
          <w:rPr>
            <w:noProof/>
            <w:webHidden/>
          </w:rPr>
          <w:fldChar w:fldCharType="separate"/>
        </w:r>
        <w:r>
          <w:rPr>
            <w:noProof/>
            <w:webHidden/>
          </w:rPr>
          <w:t>12</w:t>
        </w:r>
        <w:r>
          <w:rPr>
            <w:noProof/>
            <w:webHidden/>
          </w:rPr>
          <w:fldChar w:fldCharType="end"/>
        </w:r>
      </w:hyperlink>
    </w:p>
    <w:p w14:paraId="6633311A" w14:textId="33809219" w:rsidR="008E7260" w:rsidRDefault="008E7260">
      <w:pPr>
        <w:pStyle w:val="30"/>
        <w:tabs>
          <w:tab w:val="right" w:leader="dot" w:pos="9350"/>
        </w:tabs>
        <w:rPr>
          <w:noProof/>
        </w:rPr>
      </w:pPr>
      <w:hyperlink w:anchor="_Toc210582184" w:history="1">
        <w:r w:rsidRPr="00EB42A7">
          <w:rPr>
            <w:rStyle w:val="ac"/>
            <w:rFonts w:ascii="Calibri" w:eastAsia="Google Sans" w:hAnsi="Calibri" w:cs="Calibri"/>
            <w:noProof/>
          </w:rPr>
          <w:t>6.1. Синтез стратегического выбора технологии</w:t>
        </w:r>
        <w:r>
          <w:rPr>
            <w:noProof/>
            <w:webHidden/>
          </w:rPr>
          <w:tab/>
        </w:r>
        <w:r>
          <w:rPr>
            <w:noProof/>
            <w:webHidden/>
          </w:rPr>
          <w:fldChar w:fldCharType="begin"/>
        </w:r>
        <w:r>
          <w:rPr>
            <w:noProof/>
            <w:webHidden/>
          </w:rPr>
          <w:instrText xml:space="preserve"> PAGEREF _Toc210582184 \h </w:instrText>
        </w:r>
        <w:r>
          <w:rPr>
            <w:noProof/>
            <w:webHidden/>
          </w:rPr>
        </w:r>
        <w:r>
          <w:rPr>
            <w:noProof/>
            <w:webHidden/>
          </w:rPr>
          <w:fldChar w:fldCharType="separate"/>
        </w:r>
        <w:r>
          <w:rPr>
            <w:noProof/>
            <w:webHidden/>
          </w:rPr>
          <w:t>12</w:t>
        </w:r>
        <w:r>
          <w:rPr>
            <w:noProof/>
            <w:webHidden/>
          </w:rPr>
          <w:fldChar w:fldCharType="end"/>
        </w:r>
      </w:hyperlink>
    </w:p>
    <w:p w14:paraId="54EFACF4" w14:textId="2FA3D37F" w:rsidR="008E7260" w:rsidRDefault="008E7260">
      <w:pPr>
        <w:pStyle w:val="30"/>
        <w:tabs>
          <w:tab w:val="right" w:leader="dot" w:pos="9350"/>
        </w:tabs>
        <w:rPr>
          <w:noProof/>
        </w:rPr>
      </w:pPr>
      <w:hyperlink w:anchor="_Toc210582185" w:history="1">
        <w:r w:rsidRPr="00EB42A7">
          <w:rPr>
            <w:rStyle w:val="ac"/>
            <w:rFonts w:ascii="Calibri" w:eastAsia="Google Sans" w:hAnsi="Calibri" w:cs="Calibri"/>
            <w:noProof/>
          </w:rPr>
          <w:t>6.2. Рекомендации по ускорению программы и управлению рисками</w:t>
        </w:r>
        <w:r>
          <w:rPr>
            <w:noProof/>
            <w:webHidden/>
          </w:rPr>
          <w:tab/>
        </w:r>
        <w:r>
          <w:rPr>
            <w:noProof/>
            <w:webHidden/>
          </w:rPr>
          <w:fldChar w:fldCharType="begin"/>
        </w:r>
        <w:r>
          <w:rPr>
            <w:noProof/>
            <w:webHidden/>
          </w:rPr>
          <w:instrText xml:space="preserve"> PAGEREF _Toc210582185 \h </w:instrText>
        </w:r>
        <w:r>
          <w:rPr>
            <w:noProof/>
            <w:webHidden/>
          </w:rPr>
        </w:r>
        <w:r>
          <w:rPr>
            <w:noProof/>
            <w:webHidden/>
          </w:rPr>
          <w:fldChar w:fldCharType="separate"/>
        </w:r>
        <w:r>
          <w:rPr>
            <w:noProof/>
            <w:webHidden/>
          </w:rPr>
          <w:t>13</w:t>
        </w:r>
        <w:r>
          <w:rPr>
            <w:noProof/>
            <w:webHidden/>
          </w:rPr>
          <w:fldChar w:fldCharType="end"/>
        </w:r>
      </w:hyperlink>
    </w:p>
    <w:p w14:paraId="032DCF87" w14:textId="77C4CDAC" w:rsidR="008E7260" w:rsidRPr="008E7260" w:rsidRDefault="008E7260" w:rsidP="008E7260">
      <w:pPr>
        <w:rPr>
          <w:rFonts w:asciiTheme="majorHAnsi" w:hAnsiTheme="majorHAnsi" w:cstheme="majorHAnsi"/>
          <w:b/>
          <w:bCs/>
          <w:sz w:val="36"/>
          <w:szCs w:val="36"/>
          <w:lang w:val="ru-RU"/>
        </w:rPr>
      </w:pPr>
      <w:r>
        <w:rPr>
          <w:rFonts w:asciiTheme="majorHAnsi" w:hAnsiTheme="majorHAnsi" w:cstheme="majorHAnsi"/>
          <w:b/>
          <w:bCs/>
          <w:sz w:val="36"/>
          <w:szCs w:val="36"/>
          <w:lang w:val="ru-RU"/>
        </w:rPr>
        <w:fldChar w:fldCharType="end"/>
      </w:r>
    </w:p>
    <w:p w14:paraId="2EE31833" w14:textId="77777777" w:rsidR="008E7260" w:rsidRDefault="008E7260" w:rsidP="008E7260">
      <w:pPr>
        <w:rPr>
          <w:lang w:val="ru-RU"/>
        </w:rPr>
      </w:pPr>
    </w:p>
    <w:p w14:paraId="5B3B5D5B" w14:textId="77777777" w:rsidR="008E7260" w:rsidRPr="008E7260" w:rsidRDefault="008E7260" w:rsidP="008E7260">
      <w:pPr>
        <w:rPr>
          <w:lang w:val="ru-RU"/>
        </w:rPr>
      </w:pPr>
    </w:p>
    <w:p w14:paraId="19C9B682" w14:textId="55B994C3" w:rsidR="00A7701B" w:rsidRPr="00000523" w:rsidRDefault="00000000" w:rsidP="00000523">
      <w:pPr>
        <w:pStyle w:val="2"/>
        <w:spacing w:before="0" w:after="120" w:line="275" w:lineRule="auto"/>
        <w:jc w:val="both"/>
        <w:rPr>
          <w:rFonts w:ascii="Calibri" w:eastAsia="Google Sans" w:hAnsi="Calibri" w:cs="Calibri"/>
          <w:color w:val="1B1C1D"/>
        </w:rPr>
      </w:pPr>
      <w:bookmarkStart w:id="0" w:name="_Toc210582162"/>
      <w:r w:rsidRPr="00000523">
        <w:rPr>
          <w:rFonts w:ascii="Calibri" w:eastAsia="Google Sans" w:hAnsi="Calibri" w:cs="Calibri"/>
          <w:color w:val="1B1C1D"/>
        </w:rPr>
        <w:t>РАЗДЕЛ I: СЕРБИЯ И СТРАТЕГИЧЕСКИЕ ПРЕДПОСЫЛКИ ДЛЯ ЯДЕРНОЙ ЭНЕРГЕТИКИ</w:t>
      </w:r>
      <w:bookmarkEnd w:id="0"/>
    </w:p>
    <w:p w14:paraId="6ECF6149"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 w:name="_Toc210582163"/>
      <w:r w:rsidRPr="00000523">
        <w:rPr>
          <w:rFonts w:ascii="Calibri" w:eastAsia="Google Sans" w:hAnsi="Calibri" w:cs="Calibri"/>
          <w:color w:val="1B1C1D"/>
        </w:rPr>
        <w:t>1.1. Национальная энергетическая стратегия и снятие моратория</w:t>
      </w:r>
      <w:bookmarkEnd w:id="1"/>
    </w:p>
    <w:p w14:paraId="78B1BD8F"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Национальная энергетическая политика Сербии переживает кардинальные изменения. В ноябре 2024 года Сербия приняла решение об отмене исторического запрета на строительство атомных электростанций, который действовал со времен бывшей Югославии, введенный в 1989 году после Чернобыльской катастрофы.</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Этот шаг обусловлен острой необходимостью обеспечения растущего внутреннего спроса на электроэнергию, который, по прогнозам правительства, должен увеличиться в четыре раза к 2050 году.</w:t>
      </w:r>
      <w:r w:rsidRPr="00000523">
        <w:rPr>
          <w:rFonts w:ascii="Calibri" w:eastAsia="Google Sans Text" w:hAnsi="Calibri" w:cs="Calibri"/>
          <w:color w:val="575B5F"/>
          <w:sz w:val="24"/>
          <w:szCs w:val="24"/>
          <w:vertAlign w:val="superscript"/>
        </w:rPr>
        <w:t>1</w:t>
      </w:r>
    </w:p>
    <w:p w14:paraId="55C201A5"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В настоящее время более 85% энергетических поставок Сербии зависят от угля, нефти и газа.</w:t>
      </w:r>
      <w:r w:rsidRPr="00000523">
        <w:rPr>
          <w:rFonts w:ascii="Calibri" w:eastAsia="Google Sans Text" w:hAnsi="Calibri" w:cs="Calibri"/>
          <w:color w:val="575B5F"/>
          <w:sz w:val="24"/>
          <w:szCs w:val="24"/>
          <w:vertAlign w:val="superscript"/>
        </w:rPr>
        <w:t>3</w:t>
      </w:r>
      <w:r w:rsidRPr="00000523">
        <w:rPr>
          <w:rFonts w:ascii="Calibri" w:eastAsia="Google Sans Text" w:hAnsi="Calibri" w:cs="Calibri"/>
          <w:color w:val="1B1C1D"/>
        </w:rPr>
        <w:t xml:space="preserve"> Переход к ядерной энергетике рассматривается как экономически целесообразный и доступный способ укрепления энергетической безопасности страны в условиях европейского стремления к отказу от российского ископаемого топлива и санкционного давления.</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В июле 2025 года Министерство горнодобывающей промышленности и энергетики начало разработку национальной программы по мирному использованию ядерной энергии, а при Институте Винча была учреждена Комиссия по атомной энергии.</w:t>
      </w:r>
      <w:r w:rsidRPr="00000523">
        <w:rPr>
          <w:rFonts w:ascii="Calibri" w:eastAsia="Google Sans Text" w:hAnsi="Calibri" w:cs="Calibri"/>
          <w:color w:val="575B5F"/>
          <w:sz w:val="24"/>
          <w:szCs w:val="24"/>
          <w:vertAlign w:val="superscript"/>
        </w:rPr>
        <w:t>4</w:t>
      </w:r>
    </w:p>
    <w:p w14:paraId="0EC609F6"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Несмотря на явную срочность удовлетворения растущего спроса, Сербия сталкивается с фундаментальным противоречием между необходимостью быстрого ввода мощностей и реальной продолжительностью развития ядерной инфраструктуры. Будучи новым участником ядерного рынка, стране требуется пройти все этапы, определенные МАГАТЭ, что, по предварительным оценкам, займет 8–13 лет только до начала строительных работ.</w:t>
      </w:r>
      <w:r w:rsidRPr="00000523">
        <w:rPr>
          <w:rFonts w:ascii="Calibri" w:eastAsia="Google Sans Text" w:hAnsi="Calibri" w:cs="Calibri"/>
          <w:color w:val="575B5F"/>
          <w:sz w:val="24"/>
          <w:szCs w:val="24"/>
          <w:vertAlign w:val="superscript"/>
        </w:rPr>
        <w:t>2</w:t>
      </w:r>
      <w:r w:rsidRPr="00000523">
        <w:rPr>
          <w:rFonts w:ascii="Calibri" w:eastAsia="Google Sans Text" w:hAnsi="Calibri" w:cs="Calibri"/>
          <w:color w:val="1B1C1D"/>
        </w:rPr>
        <w:t xml:space="preserve"> Это означает, что даже при самом оптимистичном сценарии крупномасштабная АЭС не будет введена в эксплуатацию до 2040–2045 годов, что подчеркивает критическую важность выбора технологии и ускорения подготовительных фаз.</w:t>
      </w:r>
    </w:p>
    <w:p w14:paraId="5BA53D2B"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2" w:name="_Toc210582164"/>
      <w:r w:rsidRPr="00000523">
        <w:rPr>
          <w:rFonts w:ascii="Calibri" w:eastAsia="Google Sans" w:hAnsi="Calibri" w:cs="Calibri"/>
          <w:color w:val="1B1C1D"/>
        </w:rPr>
        <w:t>1.2. Текущий ландшафт сотрудничества: Глобальный выбор вендоров</w:t>
      </w:r>
      <w:bookmarkEnd w:id="2"/>
    </w:p>
    <w:p w14:paraId="43E905F6"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Сербия в настоящее время проводит активную политику балансирования, ведя переговоры с ключевыми мировыми вендорами из России, Южной Кореи и Франции.</w:t>
      </w:r>
    </w:p>
    <w:p w14:paraId="5D968ECC"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С </w:t>
      </w:r>
      <w:r w:rsidRPr="00000523">
        <w:rPr>
          <w:rFonts w:ascii="Calibri" w:eastAsia="Google Sans Text" w:hAnsi="Calibri" w:cs="Calibri"/>
          <w:b/>
          <w:color w:val="1B1C1D"/>
        </w:rPr>
        <w:t>Россией</w:t>
      </w:r>
      <w:r w:rsidRPr="00000523">
        <w:rPr>
          <w:rFonts w:ascii="Calibri" w:eastAsia="Google Sans Text" w:hAnsi="Calibri" w:cs="Calibri"/>
          <w:color w:val="1B1C1D"/>
        </w:rPr>
        <w:t xml:space="preserve"> (государственная корпорация "Росатом") ведутся "серьезные" переговоры о потенциальном строительстве АЭС.</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Посол Сербии в Москве Момчило Бабич подчеркнул, что Сербии нужна электроэнергия, и проект будет реализован в любом случае.</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"Росатом" обладает значительным конкурентным преимуществом, поскольку предлагает полный пакет услуг, включающий строительство, обслуживание, поставку топлива и обращение с отходами, а также возможность предоставления льготного государственного кредита.</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Ожидается, что переговоры могут занять до двух лет.</w:t>
      </w:r>
      <w:r w:rsidRPr="00000523">
        <w:rPr>
          <w:rFonts w:ascii="Calibri" w:eastAsia="Google Sans Text" w:hAnsi="Calibri" w:cs="Calibri"/>
          <w:color w:val="575B5F"/>
          <w:sz w:val="24"/>
          <w:szCs w:val="24"/>
          <w:vertAlign w:val="superscript"/>
        </w:rPr>
        <w:t>3</w:t>
      </w:r>
    </w:p>
    <w:p w14:paraId="73F11F8B"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lastRenderedPageBreak/>
        <w:t xml:space="preserve">С </w:t>
      </w:r>
      <w:r w:rsidRPr="00000523">
        <w:rPr>
          <w:rFonts w:ascii="Calibri" w:eastAsia="Google Sans Text" w:hAnsi="Calibri" w:cs="Calibri"/>
          <w:b/>
          <w:color w:val="1B1C1D"/>
        </w:rPr>
        <w:t>Южной Кореей</w:t>
      </w:r>
      <w:r w:rsidRPr="00000523">
        <w:rPr>
          <w:rFonts w:ascii="Calibri" w:eastAsia="Google Sans Text" w:hAnsi="Calibri" w:cs="Calibri"/>
          <w:color w:val="1B1C1D"/>
        </w:rPr>
        <w:t xml:space="preserve"> (KHNP) правительство Сербии подписало два меморандума о взаимопонимании (MOU) по сотрудничеству в области ядерной энергетики и водорода.</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KHNP имеет успешный опыт реализации крупных международных проектов, в частности, строительства четырех блоков APR-1400 в ОАЭ, а также победы в тендере на реконструкцию энергоблока АЭС Чернаводэ в Румынии.</w:t>
      </w:r>
      <w:r w:rsidRPr="00000523">
        <w:rPr>
          <w:rFonts w:ascii="Calibri" w:eastAsia="Google Sans Text" w:hAnsi="Calibri" w:cs="Calibri"/>
          <w:color w:val="575B5F"/>
          <w:sz w:val="24"/>
          <w:szCs w:val="24"/>
          <w:vertAlign w:val="superscript"/>
        </w:rPr>
        <w:t>8</w:t>
      </w:r>
    </w:p>
    <w:p w14:paraId="045405DF"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b/>
          <w:color w:val="1B1C1D"/>
        </w:rPr>
        <w:t>Франция</w:t>
      </w:r>
      <w:r w:rsidRPr="00000523">
        <w:rPr>
          <w:rFonts w:ascii="Calibri" w:eastAsia="Google Sans Text" w:hAnsi="Calibri" w:cs="Calibri"/>
          <w:color w:val="1B1C1D"/>
        </w:rPr>
        <w:t xml:space="preserve"> (EDF) была привлечена для проведения технического исследования потенциала использования ядерной генерации в Сербии.</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Это исследование, проведенное совместно с Egis Industries, оценило, что только начальные фазы, включая предпроектные работы, создание правовой и регуляторной базы, потребуют около €30 млн и займут от пяти до семи лет, после чего можно будет приступать к строительству.</w:t>
      </w:r>
      <w:r w:rsidRPr="00000523">
        <w:rPr>
          <w:rFonts w:ascii="Calibri" w:eastAsia="Google Sans Text" w:hAnsi="Calibri" w:cs="Calibri"/>
          <w:color w:val="575B5F"/>
          <w:sz w:val="24"/>
          <w:szCs w:val="24"/>
          <w:vertAlign w:val="superscript"/>
        </w:rPr>
        <w:t>2</w:t>
      </w:r>
    </w:p>
    <w:p w14:paraId="7973BD4E"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3" w:name="_Toc210582165"/>
      <w:r w:rsidRPr="00000523">
        <w:rPr>
          <w:rFonts w:ascii="Calibri" w:eastAsia="Google Sans" w:hAnsi="Calibri" w:cs="Calibri"/>
          <w:color w:val="1B1C1D"/>
        </w:rPr>
        <w:t>1.3. Геополитические риски и финансовые императивы</w:t>
      </w:r>
      <w:bookmarkEnd w:id="3"/>
    </w:p>
    <w:p w14:paraId="7028C34A"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Сербское руководство использует ядерный проект как инструмент геополитического маневрирования, стараясь сохранить баланс между стремлением к вступлению в ЕС и поддержанием энергетических связей с Востоком.</w:t>
      </w:r>
      <w:r w:rsidRPr="00000523">
        <w:rPr>
          <w:rFonts w:ascii="Calibri" w:eastAsia="Google Sans Text" w:hAnsi="Calibri" w:cs="Calibri"/>
          <w:color w:val="575B5F"/>
          <w:sz w:val="24"/>
          <w:szCs w:val="24"/>
          <w:vertAlign w:val="superscript"/>
        </w:rPr>
        <w:t>9</w:t>
      </w:r>
      <w:r w:rsidRPr="00000523">
        <w:rPr>
          <w:rFonts w:ascii="Calibri" w:eastAsia="Google Sans Text" w:hAnsi="Calibri" w:cs="Calibri"/>
          <w:color w:val="1B1C1D"/>
        </w:rPr>
        <w:t xml:space="preserve"> Привлечение EDF к техническому исследованию демонстрирует приверженность европейским стандартам и регуляторной гармонизации, что необходимо для процесса присоединения к ЕС.</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Однако параллельные переговоры с "Росатомом" и KHNP обеспечивают конкуренцию, что позволяет Белграду выбирать наиболее выгодные условия финансирования.</w:t>
      </w:r>
    </w:p>
    <w:p w14:paraId="66D8DD39"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Сотрудничество с "Росатомом" несет значительный политический риск, поскольку Сербия стремится к членству в ЕС, который требует согласования внешней политики и применения санкций против России.</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Выбор российского проекта может осложнить путь Сербии в ЕС, хотя прецеденты (как, например, АЭС Аккую в Турции) показывают, что стратегические энергетические проекты могут сохраняться даже в условиях напряженных геополитических отношений.</w:t>
      </w:r>
      <w:r w:rsidRPr="00000523">
        <w:rPr>
          <w:rFonts w:ascii="Calibri" w:eastAsia="Google Sans Text" w:hAnsi="Calibri" w:cs="Calibri"/>
          <w:color w:val="575B5F"/>
          <w:sz w:val="24"/>
          <w:szCs w:val="24"/>
          <w:vertAlign w:val="superscript"/>
        </w:rPr>
        <w:t>10</w:t>
      </w:r>
    </w:p>
    <w:p w14:paraId="28ABD0C4"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Экономическое предложение восточных вендоров (Россия, Китай) имеет решающее значение. Оно часто включает государственные льготные кредиты.</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В ядерных проектах капитальные затраты и стоимость финансирования составляют от 80% до 86% от общей усредненной стоимости электроэнергии (LCOE).</w:t>
      </w:r>
      <w:r w:rsidRPr="00000523">
        <w:rPr>
          <w:rFonts w:ascii="Calibri" w:eastAsia="Google Sans Text" w:hAnsi="Calibri" w:cs="Calibri"/>
          <w:color w:val="575B5F"/>
          <w:sz w:val="24"/>
          <w:szCs w:val="24"/>
          <w:vertAlign w:val="superscript"/>
        </w:rPr>
        <w:t>11</w:t>
      </w:r>
      <w:r w:rsidRPr="00000523">
        <w:rPr>
          <w:rFonts w:ascii="Calibri" w:eastAsia="Google Sans Text" w:hAnsi="Calibri" w:cs="Calibri"/>
          <w:color w:val="1B1C1D"/>
        </w:rPr>
        <w:t xml:space="preserve"> Привлечение льготных кредитов от государств-экспортеров, таких как Россия, эффективно нивелирует риск высокой стоимости капитала, который является основной проблемой для западных проектов. Для сравнения, увеличение процентной ставки с 4.2% до 10% может повысить LCOE в 1.8–2.5 раза.</w:t>
      </w:r>
      <w:r w:rsidRPr="00000523">
        <w:rPr>
          <w:rFonts w:ascii="Calibri" w:eastAsia="Google Sans Text" w:hAnsi="Calibri" w:cs="Calibri"/>
          <w:color w:val="575B5F"/>
          <w:sz w:val="24"/>
          <w:szCs w:val="24"/>
          <w:vertAlign w:val="superscript"/>
        </w:rPr>
        <w:t>11</w:t>
      </w:r>
      <w:r w:rsidRPr="00000523">
        <w:rPr>
          <w:rFonts w:ascii="Calibri" w:eastAsia="Google Sans Text" w:hAnsi="Calibri" w:cs="Calibri"/>
          <w:color w:val="1B1C1D"/>
        </w:rPr>
        <w:t xml:space="preserve"> Предложение льготного финансирования от "Росатома" представляет собой значительное экономическое преимущество, которое можно рассматривать как "геополитическую скидку", недоступную для западных конкурентов, чьи проекты требуют дорогостоящих частных инвестиций, гарантированных экспортно-кредитными агентствами.</w:t>
      </w:r>
      <w:r w:rsidRPr="00000523">
        <w:rPr>
          <w:rFonts w:ascii="Calibri" w:eastAsia="Google Sans Text" w:hAnsi="Calibri" w:cs="Calibri"/>
          <w:color w:val="575B5F"/>
          <w:sz w:val="24"/>
          <w:szCs w:val="24"/>
          <w:vertAlign w:val="superscript"/>
        </w:rPr>
        <w:t>13</w:t>
      </w:r>
    </w:p>
    <w:p w14:paraId="57131DE5" w14:textId="77777777" w:rsidR="008E7260" w:rsidRDefault="008E7260">
      <w:pPr>
        <w:rPr>
          <w:rFonts w:ascii="Calibri" w:eastAsia="Google Sans" w:hAnsi="Calibri" w:cs="Calibri"/>
          <w:b/>
          <w:color w:val="1B1C1D"/>
          <w:sz w:val="36"/>
          <w:szCs w:val="36"/>
        </w:rPr>
      </w:pPr>
      <w:bookmarkStart w:id="4" w:name="_Toc210582166"/>
      <w:r>
        <w:rPr>
          <w:rFonts w:ascii="Calibri" w:eastAsia="Google Sans" w:hAnsi="Calibri" w:cs="Calibri"/>
          <w:color w:val="1B1C1D"/>
        </w:rPr>
        <w:br w:type="page"/>
      </w:r>
    </w:p>
    <w:p w14:paraId="307A9469" w14:textId="6CE98EAB" w:rsidR="00A7701B" w:rsidRPr="00000523" w:rsidRDefault="00000000" w:rsidP="00000523">
      <w:pPr>
        <w:pStyle w:val="2"/>
        <w:spacing w:before="0" w:after="120" w:line="275" w:lineRule="auto"/>
        <w:jc w:val="both"/>
        <w:rPr>
          <w:rFonts w:ascii="Calibri" w:eastAsia="Google Sans" w:hAnsi="Calibri" w:cs="Calibri"/>
          <w:color w:val="1B1C1D"/>
        </w:rPr>
      </w:pPr>
      <w:r w:rsidRPr="00000523">
        <w:rPr>
          <w:rFonts w:ascii="Calibri" w:eastAsia="Google Sans" w:hAnsi="Calibri" w:cs="Calibri"/>
          <w:color w:val="1B1C1D"/>
        </w:rPr>
        <w:lastRenderedPageBreak/>
        <w:t>РАЗДЕЛ II: МЕТОДОЛОГИЧЕСКАЯ ОСНОВА МАГАТЭ</w:t>
      </w:r>
      <w:bookmarkEnd w:id="4"/>
    </w:p>
    <w:p w14:paraId="04A545A5"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5" w:name="_Toc210582167"/>
      <w:r w:rsidRPr="00000523">
        <w:rPr>
          <w:rFonts w:ascii="Calibri" w:eastAsia="Google Sans" w:hAnsi="Calibri" w:cs="Calibri"/>
          <w:color w:val="1B1C1D"/>
        </w:rPr>
        <w:t>2.1. Концепция "Вех" МАГАТЭ NG-G-3.1</w:t>
      </w:r>
      <w:bookmarkEnd w:id="5"/>
    </w:p>
    <w:p w14:paraId="2B5B17C0"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Для стран, планирующих внедрение ядерной энергетики, МАГАТЭ разработало подход, основанный на "Вехах" (Milestones in the Development of a National Infrastructure for Nuclear Power, NG-G-3.1).</w:t>
      </w:r>
      <w:r w:rsidRPr="00000523">
        <w:rPr>
          <w:rFonts w:ascii="Calibri" w:eastAsia="Google Sans Text" w:hAnsi="Calibri" w:cs="Calibri"/>
          <w:color w:val="575B5F"/>
          <w:sz w:val="24"/>
          <w:szCs w:val="24"/>
          <w:vertAlign w:val="superscript"/>
        </w:rPr>
        <w:t>15</w:t>
      </w:r>
      <w:r w:rsidRPr="00000523">
        <w:rPr>
          <w:rFonts w:ascii="Calibri" w:eastAsia="Google Sans Text" w:hAnsi="Calibri" w:cs="Calibri"/>
          <w:color w:val="1B1C1D"/>
        </w:rPr>
        <w:t xml:space="preserve"> Этот подход разделяет развитие национальной инфраструктуры на три последовательные фазы, каждая из которых завершается ключевой "Вехой". Руководство определяет 19 ключевых вопросов, которые необходимо решить, от разработки национальной позиции до планирования закупок.</w:t>
      </w:r>
      <w:r w:rsidRPr="00000523">
        <w:rPr>
          <w:rFonts w:ascii="Calibri" w:eastAsia="Google Sans Text" w:hAnsi="Calibri" w:cs="Calibri"/>
          <w:color w:val="575B5F"/>
          <w:sz w:val="24"/>
          <w:szCs w:val="24"/>
          <w:vertAlign w:val="superscript"/>
        </w:rPr>
        <w:t>15</w:t>
      </w:r>
    </w:p>
    <w:p w14:paraId="60AAEE73"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Продолжительность каждой фазы не имеет фиксированного расписания и зависит исключительно от степени приверженности и ресурсов, выделяемых страной-участником.</w:t>
      </w:r>
      <w:r w:rsidRPr="00000523">
        <w:rPr>
          <w:rFonts w:ascii="Calibri" w:eastAsia="Google Sans Text" w:hAnsi="Calibri" w:cs="Calibri"/>
          <w:color w:val="575B5F"/>
          <w:sz w:val="24"/>
          <w:szCs w:val="24"/>
          <w:vertAlign w:val="superscript"/>
        </w:rPr>
        <w:t>16</w:t>
      </w:r>
      <w:r w:rsidRPr="00000523">
        <w:rPr>
          <w:rFonts w:ascii="Calibri" w:eastAsia="Google Sans Text" w:hAnsi="Calibri" w:cs="Calibri"/>
          <w:color w:val="1B1C1D"/>
        </w:rPr>
        <w:t xml:space="preserve"> Исторически, для страны, начинающей ядерную программу с нуля, полный процесс развития инфраструктуры до готовности к началу строительства (от Фазы 1 до Вехи 3) занимает 10–15 лет.</w:t>
      </w:r>
      <w:r w:rsidRPr="00000523">
        <w:rPr>
          <w:rFonts w:ascii="Calibri" w:eastAsia="Google Sans Text" w:hAnsi="Calibri" w:cs="Calibri"/>
          <w:color w:val="575B5F"/>
          <w:sz w:val="24"/>
          <w:szCs w:val="24"/>
          <w:vertAlign w:val="superscript"/>
        </w:rPr>
        <w:t>5</w:t>
      </w:r>
      <w:r w:rsidRPr="00000523">
        <w:rPr>
          <w:rFonts w:ascii="Calibri" w:eastAsia="Google Sans Text" w:hAnsi="Calibri" w:cs="Calibri"/>
          <w:color w:val="1B1C1D"/>
        </w:rPr>
        <w:t xml:space="preserve"> Недавние обновления руководства МАГАТЭ 2024 года также включают специальный раздел, касающийся особенностей развертывания малых модульных реакторов (ММР), что указывает на растущее признание этой технологии.</w:t>
      </w:r>
      <w:r w:rsidRPr="00000523">
        <w:rPr>
          <w:rFonts w:ascii="Calibri" w:eastAsia="Google Sans Text" w:hAnsi="Calibri" w:cs="Calibri"/>
          <w:color w:val="575B5F"/>
          <w:sz w:val="24"/>
          <w:szCs w:val="24"/>
          <w:vertAlign w:val="superscript"/>
        </w:rPr>
        <w:t>17</w:t>
      </w:r>
    </w:p>
    <w:p w14:paraId="182EC626"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6" w:name="_Toc210582168"/>
      <w:r w:rsidRPr="00000523">
        <w:rPr>
          <w:rFonts w:ascii="Calibri" w:eastAsia="Google Sans" w:hAnsi="Calibri" w:cs="Calibri"/>
          <w:color w:val="1B1C1D"/>
        </w:rPr>
        <w:t>2.2. Фазы развития национальной инфраструктуры и их продолжительность</w:t>
      </w:r>
      <w:bookmarkEnd w:id="6"/>
    </w:p>
    <w:p w14:paraId="6B555B32" w14:textId="77777777" w:rsidR="00A7701B" w:rsidRPr="00000523" w:rsidRDefault="00000000" w:rsidP="00000523">
      <w:pPr>
        <w:pBdr>
          <w:top w:val="nil"/>
          <w:left w:val="nil"/>
          <w:bottom w:val="nil"/>
          <w:right w:val="nil"/>
          <w:between w:val="nil"/>
        </w:pBdr>
        <w:spacing w:after="120" w:line="275" w:lineRule="auto"/>
        <w:jc w:val="both"/>
        <w:rPr>
          <w:rFonts w:ascii="Calibri" w:eastAsia="Google Sans Text" w:hAnsi="Calibri" w:cs="Calibri"/>
          <w:color w:val="1B1C1D"/>
        </w:rPr>
      </w:pPr>
      <w:r w:rsidRPr="00000523">
        <w:rPr>
          <w:rFonts w:ascii="Calibri" w:eastAsia="Google Sans Text" w:hAnsi="Calibri" w:cs="Calibri"/>
          <w:color w:val="1B1C1D"/>
        </w:rPr>
        <w:t>В соответствии с NG-G-3.1, процесс для Сербии будет включать следующие этапы:</w:t>
      </w:r>
    </w:p>
    <w:p w14:paraId="44987FF4" w14:textId="77777777" w:rsidR="00A7701B" w:rsidRPr="00000523" w:rsidRDefault="00000000" w:rsidP="00000523">
      <w:pPr>
        <w:numPr>
          <w:ilvl w:val="0"/>
          <w:numId w:val="1"/>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b/>
          <w:color w:val="1B1C1D"/>
        </w:rPr>
        <w:t>ФАЗА 1: Рассмотрение (до Вехи 1):</w:t>
      </w:r>
      <w:r w:rsidRPr="00000523">
        <w:rPr>
          <w:rFonts w:ascii="Calibri" w:eastAsia="Google Sans Text" w:hAnsi="Calibri" w:cs="Calibri"/>
          <w:color w:val="1B1C1D"/>
        </w:rPr>
        <w:t xml:space="preserve"> Эта фаза включает разработку национальной позиции, принятие политического решения (которое фактически произошло в 2024 году), а также проведение предварительной оценки потребностей и возможностей. Участие EDF в техническом исследовании </w:t>
      </w:r>
      <w:r w:rsidRPr="00000523">
        <w:rPr>
          <w:rFonts w:ascii="Calibri" w:eastAsia="Google Sans Text" w:hAnsi="Calibri" w:cs="Calibri"/>
          <w:color w:val="575B5F"/>
          <w:sz w:val="24"/>
          <w:szCs w:val="24"/>
          <w:vertAlign w:val="superscript"/>
        </w:rPr>
        <w:t>2</w:t>
      </w:r>
      <w:r w:rsidRPr="00000523">
        <w:rPr>
          <w:rFonts w:ascii="Calibri" w:eastAsia="Google Sans Text" w:hAnsi="Calibri" w:cs="Calibri"/>
          <w:color w:val="1B1C1D"/>
        </w:rPr>
        <w:t xml:space="preserve"> соответствует этой фазе. Ожидаемая продолжительность: 3–5 лет.</w:t>
      </w:r>
    </w:p>
    <w:p w14:paraId="297197F9" w14:textId="77777777" w:rsidR="00A7701B" w:rsidRPr="00000523" w:rsidRDefault="00000000" w:rsidP="00000523">
      <w:pPr>
        <w:numPr>
          <w:ilvl w:val="0"/>
          <w:numId w:val="1"/>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b/>
          <w:color w:val="1B1C1D"/>
        </w:rPr>
        <w:t>ФАЗА 2: Подготовка (до Вехи 2):</w:t>
      </w:r>
      <w:r w:rsidRPr="00000523">
        <w:rPr>
          <w:rFonts w:ascii="Calibri" w:eastAsia="Google Sans Text" w:hAnsi="Calibri" w:cs="Calibri"/>
          <w:color w:val="1B1C1D"/>
        </w:rPr>
        <w:t xml:space="preserve"> Наиболее критичный и длительный этап. Он включает создание независимого регуляторного органа, разработку всеобъемлющего законодательства (включая вопросы ответственности и ядерной безопасности), выбор и оценку площадки, а также подготовку технической основы для проведения тендера. Предварительная оценка, сделанная в рамках французского исследования, указывала на необходимость 5–7 лет только для начальной подготовки правовой базы и пре-ТЭО.</w:t>
      </w:r>
      <w:r w:rsidRPr="00000523">
        <w:rPr>
          <w:rFonts w:ascii="Calibri" w:eastAsia="Google Sans Text" w:hAnsi="Calibri" w:cs="Calibri"/>
          <w:color w:val="575B5F"/>
          <w:sz w:val="24"/>
          <w:szCs w:val="24"/>
          <w:vertAlign w:val="superscript"/>
        </w:rPr>
        <w:t>2</w:t>
      </w:r>
      <w:r w:rsidRPr="00000523">
        <w:rPr>
          <w:rFonts w:ascii="Calibri" w:eastAsia="Google Sans Text" w:hAnsi="Calibri" w:cs="Calibri"/>
          <w:color w:val="1B1C1D"/>
        </w:rPr>
        <w:t xml:space="preserve"> Ожидаемая продолжительность: 5–8 лет.</w:t>
      </w:r>
    </w:p>
    <w:p w14:paraId="05DFE741" w14:textId="77777777" w:rsidR="00A7701B" w:rsidRPr="00000523" w:rsidRDefault="00000000" w:rsidP="00000523">
      <w:pPr>
        <w:numPr>
          <w:ilvl w:val="0"/>
          <w:numId w:val="1"/>
        </w:numPr>
        <w:pBdr>
          <w:top w:val="nil"/>
          <w:left w:val="nil"/>
          <w:bottom w:val="nil"/>
          <w:right w:val="nil"/>
          <w:between w:val="nil"/>
        </w:pBdr>
        <w:spacing w:after="120" w:line="275" w:lineRule="auto"/>
        <w:jc w:val="both"/>
        <w:rPr>
          <w:rFonts w:ascii="Calibri" w:hAnsi="Calibri" w:cs="Calibri"/>
        </w:rPr>
      </w:pPr>
      <w:r w:rsidRPr="00000523">
        <w:rPr>
          <w:rFonts w:ascii="Calibri" w:eastAsia="Google Sans Text" w:hAnsi="Calibri" w:cs="Calibri"/>
          <w:b/>
          <w:color w:val="1B1C1D"/>
        </w:rPr>
        <w:t>ФАЗА 3: Строительство (до Вехи 3):</w:t>
      </w:r>
      <w:r w:rsidRPr="00000523">
        <w:rPr>
          <w:rFonts w:ascii="Calibri" w:eastAsia="Google Sans Text" w:hAnsi="Calibri" w:cs="Calibri"/>
          <w:color w:val="1B1C1D"/>
        </w:rPr>
        <w:t xml:space="preserve"> Эта фаза включает окончательное финансовое закрытие, подписание основного контракта с вендором и получение лицензии на строительство. Кульминацией является заливка "Первого Бетона" (Веха 3). Ожидаемая продолжительность: 2–3 года.</w:t>
      </w:r>
    </w:p>
    <w:p w14:paraId="79B75A23" w14:textId="77777777" w:rsidR="00A7701B" w:rsidRPr="00000523" w:rsidRDefault="00000000" w:rsidP="00000523">
      <w:pPr>
        <w:pBdr>
          <w:top w:val="nil"/>
          <w:left w:val="nil"/>
          <w:bottom w:val="nil"/>
          <w:right w:val="nil"/>
          <w:between w:val="nil"/>
        </w:pBdr>
        <w:spacing w:before="240" w:after="240" w:line="275" w:lineRule="auto"/>
        <w:jc w:val="both"/>
        <w:rPr>
          <w:rFonts w:ascii="Calibri" w:eastAsia="Google Sans Text" w:hAnsi="Calibri" w:cs="Calibri"/>
          <w:color w:val="1B1C1D"/>
        </w:rPr>
      </w:pPr>
      <w:r w:rsidRPr="00000523">
        <w:rPr>
          <w:rFonts w:ascii="Calibri" w:eastAsia="Google Sans Text" w:hAnsi="Calibri" w:cs="Calibri"/>
          <w:color w:val="1B1C1D"/>
        </w:rPr>
        <w:t xml:space="preserve">Сербия, как страна-кандидат в ЕС, должна будет привести свое законодательство и регуляторную практику в соответствие с требованиями EURATOM, что неизбежно добавит сложности и, вероятно, удлинит сроки Фазы 2. Участие западных экспертов, например, из EDF, в разработке технической и </w:t>
      </w:r>
      <w:r w:rsidRPr="00000523">
        <w:rPr>
          <w:rFonts w:ascii="Calibri" w:eastAsia="Google Sans Text" w:hAnsi="Calibri" w:cs="Calibri"/>
          <w:color w:val="1B1C1D"/>
        </w:rPr>
        <w:lastRenderedPageBreak/>
        <w:t>правовой базы обеспечивает техническое соответствие, но также означает необходимость прохождения строгих, часто длительных, процедур лицензирования. Таким образом, политический выбор в Фазах 1 и 2 напрямую влияет на скорость достижения Вехи 2 и общий график проекта.</w:t>
      </w:r>
    </w:p>
    <w:p w14:paraId="3ACB14C7"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7" w:name="_Toc210582169"/>
      <w:r w:rsidRPr="00000523">
        <w:rPr>
          <w:rFonts w:ascii="Calibri" w:eastAsia="Google Sans" w:hAnsi="Calibri" w:cs="Calibri"/>
          <w:color w:val="1B1C1D"/>
        </w:rPr>
        <w:t>2.3. Анализ продолжительности строительства по TECHNICAL REPORTS SERIES No. 279</w:t>
      </w:r>
      <w:bookmarkEnd w:id="7"/>
    </w:p>
    <w:p w14:paraId="4F1DDEE1"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Статистические данные, включая те, что представлены в TECHNICAL REPORTS SERIES No. 279, указывают на высокую вариативность сроков строительства атомных реакторов. В целом, 95% проектов укладываются в диапазон от 50 до 250 месяцев (от 4.2 до 20.8 лет).</w:t>
      </w:r>
      <w:r w:rsidRPr="00000523">
        <w:rPr>
          <w:rFonts w:ascii="Calibri" w:eastAsia="Google Sans Text" w:hAnsi="Calibri" w:cs="Calibri"/>
          <w:color w:val="575B5F"/>
          <w:sz w:val="24"/>
          <w:szCs w:val="24"/>
          <w:vertAlign w:val="superscript"/>
        </w:rPr>
        <w:t>19</w:t>
      </w:r>
      <w:r w:rsidRPr="00000523">
        <w:rPr>
          <w:rFonts w:ascii="Calibri" w:eastAsia="Google Sans Text" w:hAnsi="Calibri" w:cs="Calibri"/>
          <w:color w:val="1B1C1D"/>
        </w:rPr>
        <w:t xml:space="preserve"> Эта широкая дисперсия подчеркивает проектные риски, особенно для новых участников.</w:t>
      </w:r>
    </w:p>
    <w:p w14:paraId="47FC4EBB"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Анализ показывает, что для реакторов мощностью до 800 МВт электрическая мощность не оказывает значительного влияния на срок строительства. Однако для более мощных реакторов срок строительства увеличивается примерно на 8 месяцев на каждые 100 МВт мощности.</w:t>
      </w:r>
      <w:r w:rsidRPr="00000523">
        <w:rPr>
          <w:rFonts w:ascii="Calibri" w:eastAsia="Google Sans Text" w:hAnsi="Calibri" w:cs="Calibri"/>
          <w:color w:val="575B5F"/>
          <w:sz w:val="24"/>
          <w:szCs w:val="24"/>
          <w:vertAlign w:val="superscript"/>
        </w:rPr>
        <w:t>19</w:t>
      </w:r>
      <w:r w:rsidRPr="00000523">
        <w:rPr>
          <w:rFonts w:ascii="Calibri" w:eastAsia="Google Sans Text" w:hAnsi="Calibri" w:cs="Calibri"/>
          <w:color w:val="1B1C1D"/>
        </w:rPr>
        <w:t xml:space="preserve"> Это означает, что реакторы поколения Gen III+ мощностью более 1000 МВт, которые предлагают основные вендоры, имеют минимальный срок строительства, значительно превышающий 60 месяцев.</w:t>
      </w:r>
    </w:p>
    <w:p w14:paraId="3565327A" w14:textId="77777777" w:rsidR="00A7701B" w:rsidRPr="00000523" w:rsidRDefault="00000000" w:rsidP="00000523">
      <w:pPr>
        <w:pBdr>
          <w:top w:val="nil"/>
          <w:left w:val="nil"/>
          <w:bottom w:val="nil"/>
          <w:right w:val="nil"/>
          <w:between w:val="nil"/>
        </w:pBdr>
        <w:spacing w:after="120" w:line="275" w:lineRule="auto"/>
        <w:jc w:val="both"/>
        <w:rPr>
          <w:rFonts w:ascii="Calibri" w:eastAsia="Google Sans Text" w:hAnsi="Calibri" w:cs="Calibri"/>
          <w:color w:val="1B1C1D"/>
        </w:rPr>
      </w:pPr>
      <w:r w:rsidRPr="00000523">
        <w:rPr>
          <w:rFonts w:ascii="Calibri" w:eastAsia="Google Sans Text" w:hAnsi="Calibri" w:cs="Calibri"/>
          <w:color w:val="1B1C1D"/>
        </w:rPr>
        <w:t>Исторический опыт новейших крупномасштабных проектов Gen III+ демонстрирует следующую картину:</w:t>
      </w:r>
    </w:p>
    <w:p w14:paraId="064E444C" w14:textId="77777777" w:rsidR="00A7701B" w:rsidRPr="00000523" w:rsidRDefault="00000000" w:rsidP="00000523">
      <w:pPr>
        <w:numPr>
          <w:ilvl w:val="0"/>
          <w:numId w:val="2"/>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color w:val="1B1C1D"/>
        </w:rPr>
        <w:t>KHNP APR-1400 (Барака, ОАЭ): Проект показал высокую надежность сроков, достигнув коммерческой эксплуатации в течение 7–8 лет (84–97 месяцев) от первого бетона.</w:t>
      </w:r>
      <w:r w:rsidRPr="00000523">
        <w:rPr>
          <w:rFonts w:ascii="Calibri" w:eastAsia="Google Sans Text" w:hAnsi="Calibri" w:cs="Calibri"/>
          <w:color w:val="575B5F"/>
          <w:sz w:val="24"/>
          <w:szCs w:val="24"/>
          <w:vertAlign w:val="superscript"/>
        </w:rPr>
        <w:t>20</w:t>
      </w:r>
    </w:p>
    <w:p w14:paraId="039EC026" w14:textId="77777777" w:rsidR="00A7701B" w:rsidRPr="00000523" w:rsidRDefault="00000000" w:rsidP="00000523">
      <w:pPr>
        <w:numPr>
          <w:ilvl w:val="0"/>
          <w:numId w:val="2"/>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color w:val="1B1C1D"/>
        </w:rPr>
        <w:t>Rosatom VVER-1200: Целевой срок строительства, заявленный для китайских проектов, составляет 69 месяцев (5.75 лет).</w:t>
      </w:r>
      <w:r w:rsidRPr="00000523">
        <w:rPr>
          <w:rFonts w:ascii="Calibri" w:eastAsia="Google Sans Text" w:hAnsi="Calibri" w:cs="Calibri"/>
          <w:color w:val="575B5F"/>
          <w:sz w:val="24"/>
          <w:szCs w:val="24"/>
          <w:vertAlign w:val="superscript"/>
        </w:rPr>
        <w:t>21</w:t>
      </w:r>
    </w:p>
    <w:p w14:paraId="7C3E2F8B" w14:textId="77777777" w:rsidR="00A7701B" w:rsidRPr="00000523" w:rsidRDefault="00000000" w:rsidP="00000523">
      <w:pPr>
        <w:numPr>
          <w:ilvl w:val="0"/>
          <w:numId w:val="2"/>
        </w:numPr>
        <w:pBdr>
          <w:top w:val="nil"/>
          <w:left w:val="nil"/>
          <w:bottom w:val="nil"/>
          <w:right w:val="nil"/>
          <w:between w:val="nil"/>
        </w:pBdr>
        <w:spacing w:after="120" w:line="275" w:lineRule="auto"/>
        <w:jc w:val="both"/>
        <w:rPr>
          <w:rFonts w:ascii="Calibri" w:hAnsi="Calibri" w:cs="Calibri"/>
        </w:rPr>
      </w:pPr>
      <w:r w:rsidRPr="00000523">
        <w:rPr>
          <w:rFonts w:ascii="Calibri" w:eastAsia="Google Sans Text" w:hAnsi="Calibri" w:cs="Calibri"/>
          <w:color w:val="1B1C1D"/>
        </w:rPr>
        <w:t>Westinghouse AP1000 (Вогтл, США) и EDF EPR (Хинкли Пойнт C): Оба демонстрируют серьезные задержки и перерасходы. Хинкли Пойнт C отложен до 2032 года, а проект Вогтл превысил первоначальную смету более чем в два раза.</w:t>
      </w:r>
      <w:r w:rsidRPr="00000523">
        <w:rPr>
          <w:rFonts w:ascii="Calibri" w:eastAsia="Google Sans Text" w:hAnsi="Calibri" w:cs="Calibri"/>
          <w:color w:val="575B5F"/>
          <w:sz w:val="24"/>
          <w:szCs w:val="24"/>
          <w:vertAlign w:val="superscript"/>
        </w:rPr>
        <w:t>22</w:t>
      </w:r>
    </w:p>
    <w:p w14:paraId="2BDFC706" w14:textId="77777777" w:rsidR="008E7260" w:rsidRDefault="00000000" w:rsidP="00000523">
      <w:pPr>
        <w:pBdr>
          <w:top w:val="nil"/>
          <w:left w:val="nil"/>
          <w:bottom w:val="nil"/>
          <w:right w:val="nil"/>
          <w:between w:val="nil"/>
        </w:pBdr>
        <w:spacing w:before="240" w:after="240" w:line="275" w:lineRule="auto"/>
        <w:jc w:val="both"/>
        <w:rPr>
          <w:rFonts w:ascii="Calibri" w:eastAsia="Google Sans Text" w:hAnsi="Calibri" w:cs="Calibri"/>
          <w:color w:val="1B1C1D"/>
        </w:rPr>
      </w:pPr>
      <w:r w:rsidRPr="00000523">
        <w:rPr>
          <w:rFonts w:ascii="Calibri" w:eastAsia="Google Sans Text" w:hAnsi="Calibri" w:cs="Calibri"/>
          <w:color w:val="1B1C1D"/>
        </w:rPr>
        <w:t>Учитывая, что стоимость финансирования (Interest During Construction, IDC) тесно коррелирует со сроком строительства, выбор вендора с доказанной краткосрочной реализацией (KHNP, Rosatom) или технологии с модульностью (SMR) является единственным способом минимизировать общий финансовый риск проекта для Сербии.</w:t>
      </w:r>
    </w:p>
    <w:p w14:paraId="1ED5D05B" w14:textId="77777777" w:rsidR="008E7260" w:rsidRDefault="008E7260">
      <w:pPr>
        <w:rPr>
          <w:rFonts w:ascii="Calibri" w:eastAsia="Google Sans" w:hAnsi="Calibri" w:cs="Calibri"/>
          <w:b/>
          <w:color w:val="1B1C1D"/>
          <w:sz w:val="36"/>
          <w:szCs w:val="36"/>
        </w:rPr>
      </w:pPr>
      <w:bookmarkStart w:id="8" w:name="_Toc210582170"/>
      <w:r>
        <w:rPr>
          <w:rFonts w:ascii="Calibri" w:eastAsia="Google Sans" w:hAnsi="Calibri" w:cs="Calibri"/>
          <w:color w:val="1B1C1D"/>
        </w:rPr>
        <w:br w:type="page"/>
      </w:r>
    </w:p>
    <w:p w14:paraId="2EB601BB" w14:textId="1808A605" w:rsidR="00A7701B" w:rsidRPr="00000523" w:rsidRDefault="00000000" w:rsidP="00000523">
      <w:pPr>
        <w:pStyle w:val="2"/>
        <w:spacing w:before="0" w:after="120" w:line="275" w:lineRule="auto"/>
        <w:jc w:val="both"/>
        <w:rPr>
          <w:rFonts w:ascii="Calibri" w:eastAsia="Google Sans" w:hAnsi="Calibri" w:cs="Calibri"/>
          <w:color w:val="1B1C1D"/>
        </w:rPr>
      </w:pPr>
      <w:r w:rsidRPr="00000523">
        <w:rPr>
          <w:rFonts w:ascii="Calibri" w:eastAsia="Google Sans" w:hAnsi="Calibri" w:cs="Calibri"/>
          <w:color w:val="1B1C1D"/>
        </w:rPr>
        <w:lastRenderedPageBreak/>
        <w:t>РАЗДЕЛ III: АНАЛИЗ ПРЕДЛОЖЕНИЙ КРУПНОМАСШТАБНЫХ АЭС</w:t>
      </w:r>
      <w:bookmarkEnd w:id="8"/>
    </w:p>
    <w:p w14:paraId="74586528"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9" w:name="_Toc210582171"/>
      <w:r w:rsidRPr="00000523">
        <w:rPr>
          <w:rFonts w:ascii="Calibri" w:eastAsia="Google Sans" w:hAnsi="Calibri" w:cs="Calibri"/>
          <w:color w:val="1B1C1D"/>
        </w:rPr>
        <w:t>3.1. Россия (Rosatom): ВВЭР-1200</w:t>
      </w:r>
      <w:bookmarkEnd w:id="9"/>
    </w:p>
    <w:p w14:paraId="36127B34"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ВВЭР-1200 — это реактор поколения Gen III+, который уже эксплуатируется в России и экспортируется в такие страны, как Беларусь.</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Главное конкурентное преимущество "Росатома" заключается в его вертикальной интеграции, которая включает не только проектирование и строительство, но и управление топливным циклом, техническое обслуживание и обращение с отработавшим топливом.</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Это комплексное предложение значительно снижает операционные риски для страны, которая впервые вводит ядерную энергетику.</w:t>
      </w:r>
    </w:p>
    <w:p w14:paraId="7E0D5B12"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Финансовая привлекательность предложения усиливается возможностью предоставления льготного государственного кредита, который позволяет избежать высоких ставок коммерческого финансирования, существенно снижая Cost of Capital и итоговую LCOE.</w:t>
      </w:r>
      <w:r w:rsidRPr="00000523">
        <w:rPr>
          <w:rFonts w:ascii="Calibri" w:eastAsia="Google Sans Text" w:hAnsi="Calibri" w:cs="Calibri"/>
          <w:color w:val="575B5F"/>
          <w:sz w:val="24"/>
          <w:szCs w:val="24"/>
          <w:vertAlign w:val="superscript"/>
        </w:rPr>
        <w:t>11</w:t>
      </w:r>
      <w:r w:rsidRPr="00000523">
        <w:rPr>
          <w:rFonts w:ascii="Calibri" w:eastAsia="Google Sans Text" w:hAnsi="Calibri" w:cs="Calibri"/>
          <w:color w:val="1B1C1D"/>
        </w:rPr>
        <w:t xml:space="preserve"> Что касается капитальных затрат, "Росатом" находится среди лидеров: оценочная удельная капитальная стоимость (Overnight Cost) для VVER-1200 составляет примерно $2,271/кВт (по оценкам 2018 года).</w:t>
      </w:r>
      <w:r w:rsidRPr="00000523">
        <w:rPr>
          <w:rFonts w:ascii="Calibri" w:eastAsia="Google Sans Text" w:hAnsi="Calibri" w:cs="Calibri"/>
          <w:color w:val="575B5F"/>
          <w:sz w:val="24"/>
          <w:szCs w:val="24"/>
          <w:vertAlign w:val="superscript"/>
        </w:rPr>
        <w:t>11</w:t>
      </w:r>
      <w:r w:rsidRPr="00000523">
        <w:rPr>
          <w:rFonts w:ascii="Calibri" w:eastAsia="Google Sans Text" w:hAnsi="Calibri" w:cs="Calibri"/>
          <w:color w:val="1B1C1D"/>
        </w:rPr>
        <w:t xml:space="preserve"> Целевой срок строительства, озвученный для проекта в Китае, составляет всего 69 месяцев (5.75 лет).</w:t>
      </w:r>
      <w:r w:rsidRPr="00000523">
        <w:rPr>
          <w:rFonts w:ascii="Calibri" w:eastAsia="Google Sans Text" w:hAnsi="Calibri" w:cs="Calibri"/>
          <w:color w:val="575B5F"/>
          <w:sz w:val="24"/>
          <w:szCs w:val="24"/>
          <w:vertAlign w:val="superscript"/>
        </w:rPr>
        <w:t>21</w:t>
      </w:r>
      <w:r w:rsidRPr="00000523">
        <w:rPr>
          <w:rFonts w:ascii="Calibri" w:eastAsia="Google Sans Text" w:hAnsi="Calibri" w:cs="Calibri"/>
          <w:color w:val="1B1C1D"/>
        </w:rPr>
        <w:t xml:space="preserve"> Низкая стоимость достигается за счет стандартизации реакторов и эффективного управления поставками, что минимизирует риски проекта, даже если геополитический контекст осложняет сотрудничество с ЕС.</w:t>
      </w:r>
    </w:p>
    <w:p w14:paraId="7B95E2FB"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0" w:name="_Toc210582172"/>
      <w:r w:rsidRPr="00000523">
        <w:rPr>
          <w:rFonts w:ascii="Calibri" w:eastAsia="Google Sans" w:hAnsi="Calibri" w:cs="Calibri"/>
          <w:color w:val="1B1C1D"/>
        </w:rPr>
        <w:t>3.2. Южная Корея (KHNP): APR-1400</w:t>
      </w:r>
      <w:bookmarkEnd w:id="10"/>
    </w:p>
    <w:p w14:paraId="4C585987"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Южнокорейский APR-1400 — еще один ключевой реактор поколения Gen III+. KHNP считается "золотым стандартом" исполнения среди крупных атомных проектов последнего десятилетия. Проект Барака в Объединенных Арабских Эмиратах, состоящий из четырех блоков по 1345 МВт, демонстрирует способность KHNP управлять крупномасштабным экспортом, соблюдая относительно жесткие сроки (7–8 лет от первого бетона до коммерческой эксплуатации для каждого блока).</w:t>
      </w:r>
      <w:r w:rsidRPr="00000523">
        <w:rPr>
          <w:rFonts w:ascii="Calibri" w:eastAsia="Google Sans Text" w:hAnsi="Calibri" w:cs="Calibri"/>
          <w:color w:val="575B5F"/>
          <w:sz w:val="24"/>
          <w:szCs w:val="24"/>
          <w:vertAlign w:val="superscript"/>
        </w:rPr>
        <w:t>20</w:t>
      </w:r>
    </w:p>
    <w:p w14:paraId="746F69F4"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APR-1400 также предлагает одну из самых низких оценочных удельных капитальных стоимостей среди крупногабаритных реакторов Gen III+ — около $2,157/кВт (2018 г.).</w:t>
      </w:r>
      <w:r w:rsidRPr="00000523">
        <w:rPr>
          <w:rFonts w:ascii="Calibri" w:eastAsia="Google Sans Text" w:hAnsi="Calibri" w:cs="Calibri"/>
          <w:color w:val="575B5F"/>
          <w:sz w:val="24"/>
          <w:szCs w:val="24"/>
          <w:vertAlign w:val="superscript"/>
        </w:rPr>
        <w:t>11</w:t>
      </w:r>
      <w:r w:rsidRPr="00000523">
        <w:rPr>
          <w:rFonts w:ascii="Calibri" w:eastAsia="Google Sans Text" w:hAnsi="Calibri" w:cs="Calibri"/>
          <w:color w:val="1B1C1D"/>
        </w:rPr>
        <w:t xml:space="preserve"> Недавняя победа KHNP в тендере на строительство в Чехии (с запланированным началом строительства в 2029 году и общим бюджетом $18.6 млрд за два блока) </w:t>
      </w:r>
      <w:r w:rsidRPr="00000523">
        <w:rPr>
          <w:rFonts w:ascii="Calibri" w:eastAsia="Google Sans Text" w:hAnsi="Calibri" w:cs="Calibri"/>
          <w:color w:val="575B5F"/>
          <w:sz w:val="24"/>
          <w:szCs w:val="24"/>
          <w:vertAlign w:val="superscript"/>
        </w:rPr>
        <w:t>8</w:t>
      </w:r>
      <w:r w:rsidRPr="00000523">
        <w:rPr>
          <w:rFonts w:ascii="Calibri" w:eastAsia="Google Sans Text" w:hAnsi="Calibri" w:cs="Calibri"/>
          <w:color w:val="1B1C1D"/>
        </w:rPr>
        <w:t>, подтверждает его способность работать на европейском рынке и проходить строгие регуляторные требования, что делает его наиболее сбалансированным вариантом для Сербии, сочетающим надежность исполнения, конкурентоспособную стоимость и приемлемый геополитический профиль.</w:t>
      </w:r>
    </w:p>
    <w:p w14:paraId="5A5EF349"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1" w:name="_Toc210582173"/>
      <w:r w:rsidRPr="00000523">
        <w:rPr>
          <w:rFonts w:ascii="Calibri" w:eastAsia="Google Sans" w:hAnsi="Calibri" w:cs="Calibri"/>
          <w:color w:val="1B1C1D"/>
        </w:rPr>
        <w:t>3.3. Франция (EDF): EPR2</w:t>
      </w:r>
      <w:bookmarkEnd w:id="11"/>
    </w:p>
    <w:p w14:paraId="550DCF56"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Наиболее вероятным предложением от Франции будет оптимизированный реактор EPR2, </w:t>
      </w:r>
      <w:r w:rsidRPr="00000523">
        <w:rPr>
          <w:rFonts w:ascii="Calibri" w:eastAsia="Google Sans Text" w:hAnsi="Calibri" w:cs="Calibri"/>
          <w:color w:val="1B1C1D"/>
        </w:rPr>
        <w:lastRenderedPageBreak/>
        <w:t>разработанный с целью устранения проблем, связанных с предыдущим поколением EPR (EPR1650). Проекты первого поколения EPR, такие как Олкилуото-3 в Финляндии и Хинкли Пойнт C в Великобритании, столкнулись с беспрецедентными задержками и перерасходами. Строительство Хинкли Пойнт C, например, откладывалось уже несколько раз, а его стоимость оценивается в £35 млрд (в ценах 2015 года), что эквивалентно $68.7 млрд в современных долларах.</w:t>
      </w:r>
      <w:r w:rsidRPr="00000523">
        <w:rPr>
          <w:rFonts w:ascii="Calibri" w:eastAsia="Google Sans Text" w:hAnsi="Calibri" w:cs="Calibri"/>
          <w:color w:val="575B5F"/>
          <w:sz w:val="24"/>
          <w:szCs w:val="24"/>
          <w:vertAlign w:val="superscript"/>
        </w:rPr>
        <w:t>22</w:t>
      </w:r>
    </w:p>
    <w:p w14:paraId="0DD7F03C"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Оценочная Overnight Cost для EPR1650 составляла ~$4,013/кВт (2018 г.).</w:t>
      </w:r>
      <w:r w:rsidRPr="00000523">
        <w:rPr>
          <w:rFonts w:ascii="Calibri" w:eastAsia="Google Sans Text" w:hAnsi="Calibri" w:cs="Calibri"/>
          <w:color w:val="575B5F"/>
          <w:sz w:val="24"/>
          <w:szCs w:val="24"/>
          <w:vertAlign w:val="superscript"/>
        </w:rPr>
        <w:t>11</w:t>
      </w:r>
      <w:r w:rsidRPr="00000523">
        <w:rPr>
          <w:rFonts w:ascii="Calibri" w:eastAsia="Google Sans Text" w:hAnsi="Calibri" w:cs="Calibri"/>
          <w:color w:val="1B1C1D"/>
        </w:rPr>
        <w:t xml:space="preserve"> Хотя участие EDF в предварительном техническом исследовании Сербии </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гарантирует идеальное регуляторное и политическое соответствие требованиям ЕС, историческая ненадежность исполнения проекта и высокая стоимость делают это предложение наименее конкурентоспособным с экономической точки зрения для Сербии. Страна-заказчик принимает на себя максимальный риск исполнения проекта, учитывая, что Франция не строила новые АЭС в течение длительного времени.</w:t>
      </w:r>
      <w:r w:rsidRPr="00000523">
        <w:rPr>
          <w:rFonts w:ascii="Calibri" w:eastAsia="Google Sans Text" w:hAnsi="Calibri" w:cs="Calibri"/>
          <w:color w:val="575B5F"/>
          <w:sz w:val="24"/>
          <w:szCs w:val="24"/>
          <w:vertAlign w:val="superscript"/>
        </w:rPr>
        <w:t>7</w:t>
      </w:r>
    </w:p>
    <w:p w14:paraId="05D76226"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2" w:name="_Toc210582174"/>
      <w:r w:rsidRPr="00000523">
        <w:rPr>
          <w:rFonts w:ascii="Calibri" w:eastAsia="Google Sans" w:hAnsi="Calibri" w:cs="Calibri"/>
          <w:color w:val="1B1C1D"/>
        </w:rPr>
        <w:t>3.4. США (Westinghouse): AP1000</w:t>
      </w:r>
      <w:bookmarkEnd w:id="12"/>
    </w:p>
    <w:p w14:paraId="61997194"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Реактор Westinghouse AP1000 поколения Gen III+ оснащен передовыми пассивными системами безопасности.</w:t>
      </w:r>
      <w:r w:rsidRPr="00000523">
        <w:rPr>
          <w:rFonts w:ascii="Calibri" w:eastAsia="Google Sans Text" w:hAnsi="Calibri" w:cs="Calibri"/>
          <w:color w:val="575B5F"/>
          <w:sz w:val="24"/>
          <w:szCs w:val="24"/>
          <w:vertAlign w:val="superscript"/>
        </w:rPr>
        <w:t>22</w:t>
      </w:r>
      <w:r w:rsidRPr="00000523">
        <w:rPr>
          <w:rFonts w:ascii="Calibri" w:eastAsia="Google Sans Text" w:hAnsi="Calibri" w:cs="Calibri"/>
          <w:color w:val="1B1C1D"/>
        </w:rPr>
        <w:t xml:space="preserve"> Однако его первое внедрение в США (блоки Вогтл 3 и 4) столкнулось с катастрофическими задержками и превышением бюджета, оцениваемым более чем в $30 млрд.</w:t>
      </w:r>
      <w:r w:rsidRPr="00000523">
        <w:rPr>
          <w:rFonts w:ascii="Calibri" w:eastAsia="Google Sans Text" w:hAnsi="Calibri" w:cs="Calibri"/>
          <w:color w:val="575B5F"/>
          <w:sz w:val="24"/>
          <w:szCs w:val="24"/>
          <w:vertAlign w:val="superscript"/>
        </w:rPr>
        <w:t>23</w:t>
      </w:r>
    </w:p>
    <w:p w14:paraId="56A72A42"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Текущие оценки для следующих коммерческих предложений (Nth-of-a-Kind, NOAK) AP1000 в США остаются очень высокими: Overnight Cost оценивается в диапазоне $8,300–$10,375/кВт (в ценах 2024 года).</w:t>
      </w:r>
      <w:r w:rsidRPr="00000523">
        <w:rPr>
          <w:rFonts w:ascii="Calibri" w:eastAsia="Google Sans Text" w:hAnsi="Calibri" w:cs="Calibri"/>
          <w:color w:val="575B5F"/>
          <w:sz w:val="24"/>
          <w:szCs w:val="24"/>
          <w:vertAlign w:val="superscript"/>
        </w:rPr>
        <w:t>24</w:t>
      </w:r>
      <w:r w:rsidRPr="00000523">
        <w:rPr>
          <w:rFonts w:ascii="Calibri" w:eastAsia="Google Sans Text" w:hAnsi="Calibri" w:cs="Calibri"/>
          <w:color w:val="1B1C1D"/>
        </w:rPr>
        <w:t xml:space="preserve"> Ожидаемый срок строительства NOAK составляет 80–96 месяцев (6.7–8 лет).</w:t>
      </w:r>
      <w:r w:rsidRPr="00000523">
        <w:rPr>
          <w:rFonts w:ascii="Calibri" w:eastAsia="Google Sans Text" w:hAnsi="Calibri" w:cs="Calibri"/>
          <w:color w:val="575B5F"/>
          <w:sz w:val="24"/>
          <w:szCs w:val="24"/>
          <w:vertAlign w:val="superscript"/>
        </w:rPr>
        <w:t>24</w:t>
      </w:r>
      <w:r w:rsidRPr="00000523">
        <w:rPr>
          <w:rFonts w:ascii="Calibri" w:eastAsia="Google Sans Text" w:hAnsi="Calibri" w:cs="Calibri"/>
          <w:color w:val="1B1C1D"/>
        </w:rPr>
        <w:t xml:space="preserve"> Эта стоимость в 3–5 раз превышает оценки для конкурентов из России, Кореи и Китая.</w:t>
      </w:r>
      <w:r w:rsidRPr="00000523">
        <w:rPr>
          <w:rFonts w:ascii="Calibri" w:eastAsia="Google Sans Text" w:hAnsi="Calibri" w:cs="Calibri"/>
          <w:color w:val="575B5F"/>
          <w:sz w:val="24"/>
          <w:szCs w:val="24"/>
          <w:vertAlign w:val="superscript"/>
        </w:rPr>
        <w:t>11</w:t>
      </w:r>
      <w:r w:rsidRPr="00000523">
        <w:rPr>
          <w:rFonts w:ascii="Calibri" w:eastAsia="Google Sans Text" w:hAnsi="Calibri" w:cs="Calibri"/>
          <w:color w:val="1B1C1D"/>
        </w:rPr>
        <w:t xml:space="preserve"> Это отражает не только сложность технологии, но и высокие регуляторные и рыночные издержки США. Для того чтобы предложение Westinghouse было экономически конкурентоспособным в Сербии, оно должно быть подкреплено массивной финансовой поддержкой со стороны правительства США (через механизмы, аналогичные федеральным кредитным гарантиям или налоговым льготам, упомянутым в американских исследованиях).</w:t>
      </w:r>
      <w:r w:rsidRPr="00000523">
        <w:rPr>
          <w:rFonts w:ascii="Calibri" w:eastAsia="Google Sans Text" w:hAnsi="Calibri" w:cs="Calibri"/>
          <w:color w:val="575B5F"/>
          <w:sz w:val="24"/>
          <w:szCs w:val="24"/>
          <w:vertAlign w:val="superscript"/>
        </w:rPr>
        <w:t>24</w:t>
      </w:r>
    </w:p>
    <w:p w14:paraId="1D5CB3FA"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3" w:name="_Toc210582175"/>
      <w:r w:rsidRPr="00000523">
        <w:rPr>
          <w:rFonts w:ascii="Calibri" w:eastAsia="Google Sans" w:hAnsi="Calibri" w:cs="Calibri"/>
          <w:color w:val="1B1C1D"/>
        </w:rPr>
        <w:t>3.5. Китай (CNNC/CGN): HPR1000</w:t>
      </w:r>
      <w:bookmarkEnd w:id="13"/>
    </w:p>
    <w:p w14:paraId="7C799FE1"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Китайский HPR1000 (Hualong One) — это совместная разработка CNNC и CGN, основанная на французском дизайне M310.</w:t>
      </w:r>
      <w:r w:rsidRPr="00000523">
        <w:rPr>
          <w:rFonts w:ascii="Calibri" w:eastAsia="Google Sans Text" w:hAnsi="Calibri" w:cs="Calibri"/>
          <w:color w:val="575B5F"/>
          <w:sz w:val="24"/>
          <w:szCs w:val="24"/>
          <w:vertAlign w:val="superscript"/>
        </w:rPr>
        <w:t>25</w:t>
      </w:r>
      <w:r w:rsidRPr="00000523">
        <w:rPr>
          <w:rFonts w:ascii="Calibri" w:eastAsia="Google Sans Text" w:hAnsi="Calibri" w:cs="Calibri"/>
          <w:color w:val="1B1C1D"/>
        </w:rPr>
        <w:t xml:space="preserve"> Он является сильным конкурентом, предлагающим экономическую привлекательность, сравнимую с Rosatom. Оценочная Overnight Cost составляет ~$2,500/кВт (2018 г.).</w:t>
      </w:r>
      <w:r w:rsidRPr="00000523">
        <w:rPr>
          <w:rFonts w:ascii="Calibri" w:eastAsia="Google Sans Text" w:hAnsi="Calibri" w:cs="Calibri"/>
          <w:color w:val="575B5F"/>
          <w:sz w:val="24"/>
          <w:szCs w:val="24"/>
          <w:vertAlign w:val="superscript"/>
        </w:rPr>
        <w:t>11</w:t>
      </w:r>
    </w:p>
    <w:p w14:paraId="60F76476" w14:textId="11C88C26" w:rsid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Китайские реакторы известны своей скоростью строительства на внутреннем рынке. Экспортная модель Китая, аналогично России, основана на использовании государственных экспортно-кредитных агентств (ЭКА), которые предлагают выгодные условия финансирования.</w:t>
      </w:r>
      <w:r w:rsidRPr="00000523">
        <w:rPr>
          <w:rFonts w:ascii="Calibri" w:eastAsia="Google Sans Text" w:hAnsi="Calibri" w:cs="Calibri"/>
          <w:color w:val="575B5F"/>
          <w:sz w:val="24"/>
          <w:szCs w:val="24"/>
          <w:vertAlign w:val="superscript"/>
        </w:rPr>
        <w:t>13</w:t>
      </w:r>
      <w:r w:rsidRPr="00000523">
        <w:rPr>
          <w:rFonts w:ascii="Calibri" w:eastAsia="Google Sans Text" w:hAnsi="Calibri" w:cs="Calibri"/>
          <w:color w:val="1B1C1D"/>
        </w:rPr>
        <w:t xml:space="preserve"> HPR1000 представляет собой стратегическую альтернативу, поскольку предлагает низкую стоимость и скорость исполнения, но без немедленного конфликта с ЕС в контексте санкций против России.</w:t>
      </w:r>
    </w:p>
    <w:p w14:paraId="0DD5E819" w14:textId="42E2FA3C" w:rsidR="00A7701B" w:rsidRPr="00000523" w:rsidRDefault="00000000" w:rsidP="00000523">
      <w:pPr>
        <w:pBdr>
          <w:top w:val="nil"/>
          <w:left w:val="nil"/>
          <w:bottom w:val="nil"/>
          <w:right w:val="nil"/>
          <w:between w:val="nil"/>
        </w:pBdr>
        <w:spacing w:before="120" w:after="240" w:line="275" w:lineRule="auto"/>
        <w:jc w:val="both"/>
        <w:rPr>
          <w:rFonts w:ascii="Calibri" w:eastAsia="Google Sans Text" w:hAnsi="Calibri" w:cs="Calibri"/>
          <w:color w:val="1B1C1D"/>
        </w:rPr>
      </w:pPr>
      <w:r w:rsidRPr="00000523">
        <w:rPr>
          <w:rFonts w:ascii="Calibri" w:eastAsia="Google Sans Text" w:hAnsi="Calibri" w:cs="Calibri"/>
          <w:color w:val="1B1C1D"/>
        </w:rPr>
        <w:lastRenderedPageBreak/>
        <w:t>Таблица 3.1. Сравнительный анализ капитальных затрат и целевых сроков строительства крупномасштабных АЭС</w:t>
      </w:r>
    </w:p>
    <w:p w14:paraId="6235C9C4" w14:textId="77777777" w:rsidR="00A7701B" w:rsidRPr="00000523" w:rsidRDefault="00A7701B" w:rsidP="00000523">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A7701B" w:rsidRPr="00000523" w14:paraId="6465CF90"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8A575E"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Вендор (Страна)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4691F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Реактор</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5A318E"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Мощность (МВт)</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2BEE5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Оценочная Капитальная Стоимость (Overnight Cost, $/кВт)</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63BD6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Целевой Срок Строительства (Месяцы)</w:t>
            </w:r>
          </w:p>
        </w:tc>
      </w:tr>
      <w:tr w:rsidR="00A7701B" w:rsidRPr="00000523" w14:paraId="285FC92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D8BB87"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Южная Корея (KHNP)</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9EF952"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APR-1400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CF7902"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~1400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6220BD"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$2,157/кВт (2018 est.) </w:t>
            </w:r>
            <w:r w:rsidRPr="00000523">
              <w:rPr>
                <w:rFonts w:ascii="Calibri" w:eastAsia="Google Sans Text" w:hAnsi="Calibri" w:cs="Calibri"/>
                <w:color w:val="575B5F"/>
                <w:sz w:val="24"/>
                <w:szCs w:val="24"/>
                <w:vertAlign w:val="superscript"/>
              </w:rPr>
              <w:t>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8EB26D"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84–97 (Факт, ОАЭ) </w:t>
            </w:r>
            <w:r w:rsidRPr="00000523">
              <w:rPr>
                <w:rFonts w:ascii="Calibri" w:eastAsia="Google Sans Text" w:hAnsi="Calibri" w:cs="Calibri"/>
                <w:color w:val="575B5F"/>
                <w:sz w:val="24"/>
                <w:szCs w:val="24"/>
                <w:vertAlign w:val="superscript"/>
              </w:rPr>
              <w:t>20</w:t>
            </w:r>
          </w:p>
        </w:tc>
      </w:tr>
      <w:tr w:rsidR="00A7701B" w:rsidRPr="00000523" w14:paraId="607362B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B5AB6B"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Россия (Rosatom)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7E338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ВВЭР-1200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8BFEC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~1200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BA5410"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$2,271/кВт (2018 est.) </w:t>
            </w:r>
            <w:r w:rsidRPr="00000523">
              <w:rPr>
                <w:rFonts w:ascii="Calibri" w:eastAsia="Google Sans Text" w:hAnsi="Calibri" w:cs="Calibri"/>
                <w:color w:val="575B5F"/>
                <w:sz w:val="24"/>
                <w:szCs w:val="24"/>
                <w:vertAlign w:val="superscript"/>
              </w:rPr>
              <w:t>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37CAFE"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69 (Цель, Китай) </w:t>
            </w:r>
            <w:r w:rsidRPr="00000523">
              <w:rPr>
                <w:rFonts w:ascii="Calibri" w:eastAsia="Google Sans Text" w:hAnsi="Calibri" w:cs="Calibri"/>
                <w:color w:val="575B5F"/>
                <w:sz w:val="24"/>
                <w:szCs w:val="24"/>
                <w:vertAlign w:val="superscript"/>
              </w:rPr>
              <w:t>21</w:t>
            </w:r>
          </w:p>
        </w:tc>
      </w:tr>
      <w:tr w:rsidR="00A7701B" w:rsidRPr="00000523" w14:paraId="66DEF8A1"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9FDF3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Китай (CNNC/CGN)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43837F"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HPR1000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18674B"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~1000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3F7F03"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$2,500/кВт (2018 est.) </w:t>
            </w:r>
            <w:r w:rsidRPr="00000523">
              <w:rPr>
                <w:rFonts w:ascii="Calibri" w:eastAsia="Google Sans Text" w:hAnsi="Calibri" w:cs="Calibri"/>
                <w:color w:val="575B5F"/>
                <w:sz w:val="24"/>
                <w:szCs w:val="24"/>
                <w:vertAlign w:val="superscript"/>
              </w:rPr>
              <w:t>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F87CF7"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Недоступно (Цель ниже 84)</w:t>
            </w:r>
          </w:p>
        </w:tc>
      </w:tr>
      <w:tr w:rsidR="00A7701B" w:rsidRPr="00000523" w14:paraId="2983568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F51DB8"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Франция (EDF)</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81DE87"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EPR1650 (Прошлый Ген.)</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42D434"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~1650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D3D610"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$4,013/кВт (2018 est.) </w:t>
            </w:r>
            <w:r w:rsidRPr="00000523">
              <w:rPr>
                <w:rFonts w:ascii="Calibri" w:eastAsia="Google Sans Text" w:hAnsi="Calibri" w:cs="Calibri"/>
                <w:color w:val="575B5F"/>
                <w:sz w:val="24"/>
                <w:szCs w:val="24"/>
                <w:vertAlign w:val="superscript"/>
              </w:rPr>
              <w:t>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C7F15C"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&gt;180 (Факт, Великобритания) </w:t>
            </w:r>
            <w:r w:rsidRPr="00000523">
              <w:rPr>
                <w:rFonts w:ascii="Calibri" w:eastAsia="Google Sans Text" w:hAnsi="Calibri" w:cs="Calibri"/>
                <w:color w:val="575B5F"/>
                <w:sz w:val="24"/>
                <w:szCs w:val="24"/>
                <w:vertAlign w:val="superscript"/>
              </w:rPr>
              <w:t>22</w:t>
            </w:r>
          </w:p>
        </w:tc>
      </w:tr>
      <w:tr w:rsidR="00A7701B" w:rsidRPr="00000523" w14:paraId="7613BDC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9C29ED"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США (Westinghouse)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01469C"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AP1000 (NOAK)</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FE9C8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~1150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C78FF3"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$8,300–$10,375/кВт (2024 est.) </w:t>
            </w:r>
            <w:r w:rsidRPr="00000523">
              <w:rPr>
                <w:rFonts w:ascii="Calibri" w:eastAsia="Google Sans Text" w:hAnsi="Calibri" w:cs="Calibri"/>
                <w:color w:val="575B5F"/>
                <w:sz w:val="24"/>
                <w:szCs w:val="24"/>
                <w:vertAlign w:val="superscript"/>
              </w:rPr>
              <w:t>24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EA6438"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80–96 (Цель NOAK) </w:t>
            </w:r>
            <w:r w:rsidRPr="00000523">
              <w:rPr>
                <w:rFonts w:ascii="Calibri" w:eastAsia="Google Sans Text" w:hAnsi="Calibri" w:cs="Calibri"/>
                <w:color w:val="575B5F"/>
                <w:sz w:val="24"/>
                <w:szCs w:val="24"/>
                <w:vertAlign w:val="superscript"/>
              </w:rPr>
              <w:t>24</w:t>
            </w:r>
          </w:p>
        </w:tc>
      </w:tr>
    </w:tbl>
    <w:p w14:paraId="6E64DB8D" w14:textId="0F9A9208" w:rsidR="00A7701B" w:rsidRPr="00000523" w:rsidRDefault="00A7701B" w:rsidP="00000523">
      <w:pPr>
        <w:pBdr>
          <w:top w:val="nil"/>
          <w:left w:val="nil"/>
          <w:bottom w:val="nil"/>
          <w:right w:val="nil"/>
          <w:between w:val="nil"/>
        </w:pBdr>
        <w:spacing w:before="120" w:after="240" w:line="275" w:lineRule="auto"/>
        <w:jc w:val="both"/>
        <w:rPr>
          <w:rFonts w:ascii="Calibri" w:eastAsia="Google Sans Text" w:hAnsi="Calibri" w:cs="Calibri"/>
          <w:color w:val="575B5F"/>
          <w:sz w:val="24"/>
          <w:szCs w:val="24"/>
          <w:vertAlign w:val="superscript"/>
        </w:rPr>
      </w:pPr>
    </w:p>
    <w:p w14:paraId="2E47A317" w14:textId="77777777" w:rsidR="00A7701B" w:rsidRPr="00000523" w:rsidRDefault="00000000" w:rsidP="00000523">
      <w:pPr>
        <w:pStyle w:val="2"/>
        <w:spacing w:before="0" w:after="120" w:line="275" w:lineRule="auto"/>
        <w:jc w:val="both"/>
        <w:rPr>
          <w:rFonts w:ascii="Calibri" w:eastAsia="Google Sans" w:hAnsi="Calibri" w:cs="Calibri"/>
          <w:color w:val="1B1C1D"/>
        </w:rPr>
      </w:pPr>
      <w:bookmarkStart w:id="14" w:name="_Toc210582176"/>
      <w:r w:rsidRPr="00000523">
        <w:rPr>
          <w:rFonts w:ascii="Calibri" w:eastAsia="Google Sans" w:hAnsi="Calibri" w:cs="Calibri"/>
          <w:color w:val="1B1C1D"/>
        </w:rPr>
        <w:t>РАЗДЕЛ IV: АНАЛИЗ ПРЕДЛОЖЕНИЙ МАЛЫХ МОДУЛЬНЫХ РЕАКТОРОВ (ММР)</w:t>
      </w:r>
      <w:bookmarkEnd w:id="14"/>
    </w:p>
    <w:p w14:paraId="68767B86"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5" w:name="_Toc210582177"/>
      <w:r w:rsidRPr="00000523">
        <w:rPr>
          <w:rFonts w:ascii="Calibri" w:eastAsia="Google Sans" w:hAnsi="Calibri" w:cs="Calibri"/>
          <w:color w:val="1B1C1D"/>
        </w:rPr>
        <w:t>4.1. Концепция ММР: Преимущества и экономика</w:t>
      </w:r>
      <w:bookmarkEnd w:id="15"/>
    </w:p>
    <w:p w14:paraId="21E6A7F1"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Малые модульные реакторы (ММР) определяются как реакторы мощностью 300 МВт или менее, спроектированные с использованием модульной технологии для заводского изготовления и серийного производства.</w:t>
      </w:r>
      <w:r w:rsidRPr="00000523">
        <w:rPr>
          <w:rFonts w:ascii="Calibri" w:eastAsia="Google Sans Text" w:hAnsi="Calibri" w:cs="Calibri"/>
          <w:color w:val="575B5F"/>
          <w:sz w:val="24"/>
          <w:szCs w:val="24"/>
          <w:vertAlign w:val="superscript"/>
        </w:rPr>
        <w:t>26</w:t>
      </w:r>
      <w:r w:rsidRPr="00000523">
        <w:rPr>
          <w:rFonts w:ascii="Calibri" w:eastAsia="Google Sans Text" w:hAnsi="Calibri" w:cs="Calibri"/>
          <w:color w:val="1B1C1D"/>
        </w:rPr>
        <w:t xml:space="preserve"> Основное преимущество ММР заключается в сокращении сроков строительства и снижении общего объема необходимых капитальных затрат на один модуль (хотя не обязательно удельной стоимости на кВт).</w:t>
      </w:r>
      <w:r w:rsidRPr="00000523">
        <w:rPr>
          <w:rFonts w:ascii="Calibri" w:eastAsia="Google Sans Text" w:hAnsi="Calibri" w:cs="Calibri"/>
          <w:color w:val="575B5F"/>
          <w:sz w:val="24"/>
          <w:szCs w:val="24"/>
          <w:vertAlign w:val="superscript"/>
        </w:rPr>
        <w:t>28</w:t>
      </w:r>
    </w:p>
    <w:p w14:paraId="28C57A4E"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lastRenderedPageBreak/>
        <w:t>Ключевым экономическим преимуществом ММР является возможность поэтапного ввода в эксплуатацию. Первый модуль может быть запущен и начать генерировать энергию и, соответственно, доход, пока строятся последующие.</w:t>
      </w:r>
      <w:r w:rsidRPr="00000523">
        <w:rPr>
          <w:rFonts w:ascii="Calibri" w:eastAsia="Google Sans Text" w:hAnsi="Calibri" w:cs="Calibri"/>
          <w:color w:val="575B5F"/>
          <w:sz w:val="24"/>
          <w:szCs w:val="24"/>
          <w:vertAlign w:val="superscript"/>
        </w:rPr>
        <w:t>29</w:t>
      </w:r>
      <w:r w:rsidRPr="00000523">
        <w:rPr>
          <w:rFonts w:ascii="Calibri" w:eastAsia="Google Sans Text" w:hAnsi="Calibri" w:cs="Calibri"/>
          <w:color w:val="1B1C1D"/>
        </w:rPr>
        <w:t xml:space="preserve"> Эта возможность сокращает период накопления процентов в процессе строительства (IDC), что является решающим фактором для снижения общих финансовых издержек. Если крупный реактор со стоимостью $6,600/кВт и сроком строительства 15 лет сравнивается с ММР стоимостью $10,000/кВт и сроком строительства 5 лет (при ставке 5%), общая стоимость SMR (с учетом финансирования) оказывается ниже.</w:t>
      </w:r>
      <w:r w:rsidRPr="00000523">
        <w:rPr>
          <w:rFonts w:ascii="Calibri" w:eastAsia="Google Sans Text" w:hAnsi="Calibri" w:cs="Calibri"/>
          <w:color w:val="575B5F"/>
          <w:sz w:val="24"/>
          <w:szCs w:val="24"/>
          <w:vertAlign w:val="superscript"/>
        </w:rPr>
        <w:t>29</w:t>
      </w:r>
    </w:p>
    <w:p w14:paraId="695995E2"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6" w:name="_Toc210582178"/>
      <w:r w:rsidRPr="00000523">
        <w:rPr>
          <w:rFonts w:ascii="Calibri" w:eastAsia="Google Sans" w:hAnsi="Calibri" w:cs="Calibri"/>
          <w:color w:val="1B1C1D"/>
        </w:rPr>
        <w:t>4.2. Обзор ключевых технологий ММР и разрыв FOAK–NOAK</w:t>
      </w:r>
      <w:bookmarkEnd w:id="16"/>
    </w:p>
    <w:p w14:paraId="726207EC"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Мировые вендоры активно разрабатывают ММР. Например, американский NuScale предлагает модули VOYGR мощностью 77 МВт с целевой Overnight Cost для NOAK (Nth-of-a-Kind) в диапазоне $2,000–$2,500/кВт.</w:t>
      </w:r>
      <w:r w:rsidRPr="00000523">
        <w:rPr>
          <w:rFonts w:ascii="Calibri" w:eastAsia="Google Sans Text" w:hAnsi="Calibri" w:cs="Calibri"/>
          <w:color w:val="575B5F"/>
          <w:sz w:val="24"/>
          <w:szCs w:val="24"/>
          <w:vertAlign w:val="superscript"/>
        </w:rPr>
        <w:t>30</w:t>
      </w:r>
      <w:r w:rsidRPr="00000523">
        <w:rPr>
          <w:rFonts w:ascii="Calibri" w:eastAsia="Google Sans Text" w:hAnsi="Calibri" w:cs="Calibri"/>
          <w:color w:val="1B1C1D"/>
        </w:rPr>
        <w:t xml:space="preserve"> Великобритания через Rolls-Royce SMR разрабатывает реактор мощностью 470 МВт с целевым сроком строительства первого блока в 3–4 года и планируемым вводом в эксплуатацию к 2030 году.</w:t>
      </w:r>
      <w:r w:rsidRPr="00000523">
        <w:rPr>
          <w:rFonts w:ascii="Calibri" w:eastAsia="Google Sans Text" w:hAnsi="Calibri" w:cs="Calibri"/>
          <w:color w:val="575B5F"/>
          <w:sz w:val="24"/>
          <w:szCs w:val="24"/>
          <w:vertAlign w:val="superscript"/>
        </w:rPr>
        <w:t>31</w:t>
      </w:r>
    </w:p>
    <w:p w14:paraId="35D6E8A3"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Однако существует значительный разрыв между оптимистичными целевыми показателями (NOAK) и реальностью первых проектов (FOAK). Оценки Международного энергетического агентства (IEA) для FOAK ММР в ЕС составляют около $10,000/кВт.</w:t>
      </w:r>
      <w:r w:rsidRPr="00000523">
        <w:rPr>
          <w:rFonts w:ascii="Calibri" w:eastAsia="Google Sans Text" w:hAnsi="Calibri" w:cs="Calibri"/>
          <w:color w:val="575B5F"/>
          <w:sz w:val="24"/>
          <w:szCs w:val="24"/>
          <w:vertAlign w:val="superscript"/>
        </w:rPr>
        <w:t>29</w:t>
      </w:r>
      <w:r w:rsidRPr="00000523">
        <w:rPr>
          <w:rFonts w:ascii="Calibri" w:eastAsia="Google Sans Text" w:hAnsi="Calibri" w:cs="Calibri"/>
          <w:color w:val="1B1C1D"/>
        </w:rPr>
        <w:t xml:space="preserve"> Сербия, как новый рынок, вероятно, столкнется с затратами, близкими к этим высоким оценкам. Таким образом, удельная капитальная стоимость ММР на ранних этапах развертывания, вероятно, будет выше, чем у проверенных крупногабаритных реакторов от KHNP или Rosatom.</w:t>
      </w:r>
    </w:p>
    <w:p w14:paraId="10A79174"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 xml:space="preserve">Выбор ММР для Сербии — это не столько ставка на немедленную низкую удельную стоимость, сколько инструмент управления капитальным риском. Короткие целевые сроки строительства (30–36 месяцев NOAK) </w:t>
      </w:r>
      <w:r w:rsidRPr="00000523">
        <w:rPr>
          <w:rFonts w:ascii="Calibri" w:eastAsia="Google Sans Text" w:hAnsi="Calibri" w:cs="Calibri"/>
          <w:color w:val="575B5F"/>
          <w:sz w:val="24"/>
          <w:szCs w:val="24"/>
          <w:vertAlign w:val="superscript"/>
        </w:rPr>
        <w:t>30</w:t>
      </w:r>
      <w:r w:rsidRPr="00000523">
        <w:rPr>
          <w:rFonts w:ascii="Calibri" w:eastAsia="Google Sans Text" w:hAnsi="Calibri" w:cs="Calibri"/>
          <w:color w:val="1B1C1D"/>
        </w:rPr>
        <w:t xml:space="preserve"> эффективно ограничивают финансовые потери, связанные с задержками, которые часто разрушают бюджеты проектов крупномасштабных АЭС.</w:t>
      </w:r>
    </w:p>
    <w:p w14:paraId="160C8DBD" w14:textId="77777777" w:rsidR="00000523" w:rsidRDefault="00000523">
      <w:pPr>
        <w:rPr>
          <w:rFonts w:ascii="Calibri" w:eastAsia="Google Sans Text" w:hAnsi="Calibri" w:cs="Calibri"/>
          <w:color w:val="1B1C1D"/>
        </w:rPr>
      </w:pPr>
      <w:r>
        <w:rPr>
          <w:rFonts w:ascii="Calibri" w:eastAsia="Google Sans Text" w:hAnsi="Calibri" w:cs="Calibri"/>
          <w:color w:val="1B1C1D"/>
        </w:rPr>
        <w:br w:type="page"/>
      </w:r>
    </w:p>
    <w:p w14:paraId="0783D9A0" w14:textId="4A395F5F" w:rsidR="00A7701B" w:rsidRPr="00000523" w:rsidRDefault="00000000" w:rsidP="00000523">
      <w:pPr>
        <w:pBdr>
          <w:top w:val="nil"/>
          <w:left w:val="nil"/>
          <w:bottom w:val="nil"/>
          <w:right w:val="nil"/>
          <w:between w:val="nil"/>
        </w:pBdr>
        <w:spacing w:before="120" w:after="240" w:line="275" w:lineRule="auto"/>
        <w:jc w:val="both"/>
        <w:rPr>
          <w:rFonts w:ascii="Calibri" w:eastAsia="Google Sans Text" w:hAnsi="Calibri" w:cs="Calibri"/>
          <w:color w:val="1B1C1D"/>
        </w:rPr>
      </w:pPr>
      <w:r w:rsidRPr="00000523">
        <w:rPr>
          <w:rFonts w:ascii="Calibri" w:eastAsia="Google Sans Text" w:hAnsi="Calibri" w:cs="Calibri"/>
          <w:color w:val="1B1C1D"/>
        </w:rPr>
        <w:lastRenderedPageBreak/>
        <w:t>Таблица 4.1. Сравнительный анализ SMR (Small Modular Reactor) Экономики и Сроков</w:t>
      </w:r>
    </w:p>
    <w:p w14:paraId="6840715D" w14:textId="77777777" w:rsidR="00A7701B" w:rsidRPr="00000523" w:rsidRDefault="00A7701B" w:rsidP="00000523">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A7701B" w:rsidRPr="00000523" w14:paraId="419A45C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49FD5E"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Тип Реактора (Пример)</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89A6F0"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Вендор</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D609F9"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Мощность (МВт/модуль)</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49658E"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Целевой Срок Строительства NOAK (Месяцы)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C9D919"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Оценочная Капитальная Стоимость FOAK/NOAK ($/кВт)</w:t>
            </w:r>
          </w:p>
        </w:tc>
      </w:tr>
      <w:tr w:rsidR="00A7701B" w:rsidRPr="00000523" w14:paraId="0561318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730DB9"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Усредненный SMR (IEA EU)</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E261C7"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Различные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CDD488"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300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5F1297"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60 (5 лет) </w:t>
            </w:r>
            <w:r w:rsidRPr="00000523">
              <w:rPr>
                <w:rFonts w:ascii="Calibri" w:eastAsia="Google Sans Text" w:hAnsi="Calibri" w:cs="Calibri"/>
                <w:color w:val="575B5F"/>
                <w:sz w:val="24"/>
                <w:szCs w:val="24"/>
                <w:vertAlign w:val="superscript"/>
              </w:rPr>
              <w:t>29</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58F2A4"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~$10,000/кВт (IEA EU FOAK) </w:t>
            </w:r>
            <w:r w:rsidRPr="00000523">
              <w:rPr>
                <w:rFonts w:ascii="Calibri" w:eastAsia="Google Sans Text" w:hAnsi="Calibri" w:cs="Calibri"/>
                <w:color w:val="575B5F"/>
                <w:sz w:val="24"/>
                <w:szCs w:val="24"/>
                <w:vertAlign w:val="superscript"/>
              </w:rPr>
              <w:t>29</w:t>
            </w:r>
          </w:p>
        </w:tc>
      </w:tr>
      <w:tr w:rsidR="00A7701B" w:rsidRPr="00000523" w14:paraId="343B03B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B4F6F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NuScale VOYGR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73E23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США (NuScale)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BA022B"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77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F1E936"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30–36 (NOAK) </w:t>
            </w:r>
            <w:r w:rsidRPr="00000523">
              <w:rPr>
                <w:rFonts w:ascii="Calibri" w:eastAsia="Google Sans Text" w:hAnsi="Calibri" w:cs="Calibri"/>
                <w:color w:val="575B5F"/>
                <w:sz w:val="24"/>
                <w:szCs w:val="24"/>
                <w:vertAlign w:val="superscript"/>
              </w:rPr>
              <w:t>30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8CA24C"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$2,000–$2,500/кВт (Целевой NOAK) </w:t>
            </w:r>
            <w:r w:rsidRPr="00000523">
              <w:rPr>
                <w:rFonts w:ascii="Calibri" w:eastAsia="Google Sans Text" w:hAnsi="Calibri" w:cs="Calibri"/>
                <w:color w:val="575B5F"/>
                <w:sz w:val="24"/>
                <w:szCs w:val="24"/>
                <w:vertAlign w:val="superscript"/>
              </w:rPr>
              <w:t>30</w:t>
            </w:r>
          </w:p>
        </w:tc>
      </w:tr>
      <w:tr w:rsidR="00A7701B" w:rsidRPr="00000523" w14:paraId="1759C3BF"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0B6A7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Rolls-Royce SMR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0013EC"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Великобритания</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092384"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470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A4769D"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36–48 (FOAK) </w:t>
            </w:r>
            <w:r w:rsidRPr="00000523">
              <w:rPr>
                <w:rFonts w:ascii="Calibri" w:eastAsia="Google Sans Text" w:hAnsi="Calibri" w:cs="Calibri"/>
                <w:color w:val="575B5F"/>
                <w:sz w:val="24"/>
                <w:szCs w:val="24"/>
                <w:vertAlign w:val="superscript"/>
              </w:rPr>
              <w:t>32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6741F2"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Капитальная стоимость неизвестна (Цель LCOE £60/МВтч) </w:t>
            </w:r>
            <w:r w:rsidRPr="00000523">
              <w:rPr>
                <w:rFonts w:ascii="Calibri" w:eastAsia="Google Sans Text" w:hAnsi="Calibri" w:cs="Calibri"/>
                <w:color w:val="575B5F"/>
                <w:sz w:val="24"/>
                <w:szCs w:val="24"/>
                <w:vertAlign w:val="superscript"/>
              </w:rPr>
              <w:t>32</w:t>
            </w:r>
          </w:p>
        </w:tc>
      </w:tr>
    </w:tbl>
    <w:p w14:paraId="69B74044" w14:textId="7AA65769" w:rsidR="00A7701B" w:rsidRPr="00000523" w:rsidRDefault="00A7701B" w:rsidP="00000523">
      <w:pPr>
        <w:pBdr>
          <w:top w:val="nil"/>
          <w:left w:val="nil"/>
          <w:bottom w:val="nil"/>
          <w:right w:val="nil"/>
          <w:between w:val="nil"/>
        </w:pBdr>
        <w:spacing w:before="120" w:after="240" w:line="275" w:lineRule="auto"/>
        <w:jc w:val="both"/>
        <w:rPr>
          <w:rFonts w:ascii="Calibri" w:eastAsia="Google Sans Text" w:hAnsi="Calibri" w:cs="Calibri"/>
          <w:color w:val="575B5F"/>
          <w:sz w:val="24"/>
          <w:szCs w:val="24"/>
          <w:vertAlign w:val="superscript"/>
        </w:rPr>
      </w:pPr>
    </w:p>
    <w:p w14:paraId="69AD41B3" w14:textId="5A74497C" w:rsidR="00A7701B" w:rsidRPr="00000523" w:rsidRDefault="00000000" w:rsidP="00000523">
      <w:pPr>
        <w:pStyle w:val="2"/>
        <w:spacing w:before="0" w:after="120" w:line="275" w:lineRule="auto"/>
        <w:jc w:val="both"/>
        <w:rPr>
          <w:rFonts w:ascii="Calibri" w:eastAsia="Google Sans" w:hAnsi="Calibri" w:cs="Calibri"/>
          <w:color w:val="1B1C1D"/>
          <w:lang w:val="ru-RU"/>
        </w:rPr>
      </w:pPr>
      <w:bookmarkStart w:id="17" w:name="_Toc210582179"/>
      <w:r w:rsidRPr="00000523">
        <w:rPr>
          <w:rFonts w:ascii="Calibri" w:eastAsia="Google Sans" w:hAnsi="Calibri" w:cs="Calibri"/>
          <w:color w:val="1B1C1D"/>
        </w:rPr>
        <w:t>РАЗДЕЛ V: СВОДНЫЙ АНАЛИЗ СРОКОВ И ПРОЕКТНЫХ ВЕХ</w:t>
      </w:r>
      <w:bookmarkEnd w:id="17"/>
    </w:p>
    <w:p w14:paraId="40B0F274"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8" w:name="_Toc210582180"/>
      <w:r w:rsidRPr="00000523">
        <w:rPr>
          <w:rFonts w:ascii="Calibri" w:eastAsia="Google Sans" w:hAnsi="Calibri" w:cs="Calibri"/>
          <w:color w:val="1B1C1D"/>
        </w:rPr>
        <w:t>5.1. Моделирование общей продолжительности проекта для Сербии</w:t>
      </w:r>
      <w:bookmarkEnd w:id="18"/>
    </w:p>
    <w:p w14:paraId="6DC71D02"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Общая продолжительность проекта (от принятия решения до коммерческой эксплуатации) определяется суммой времени, необходимого для развития национальной инфраструктуры (Фазы 1–3 МАГАТЭ) и фактического строительства (от Вехи 3 до COD).</w:t>
      </w:r>
    </w:p>
    <w:p w14:paraId="0AB0C78C"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При консервативной, но оптимистичной оценке, Сербии потребуется около 10 лет для завершения Фаз 1 и 2 и достижения Вехи 3 (Готовность к строительству). Если национальное решение отсчитывается от 2025 года, это означает, что Первый Бетон может быть залит не ранее 2035 года.</w:t>
      </w:r>
    </w:p>
    <w:p w14:paraId="3AE3F60A" w14:textId="77777777" w:rsidR="00A7701B" w:rsidRPr="00000523" w:rsidRDefault="00000000" w:rsidP="00000523">
      <w:pPr>
        <w:pBdr>
          <w:top w:val="nil"/>
          <w:left w:val="nil"/>
          <w:bottom w:val="nil"/>
          <w:right w:val="nil"/>
          <w:between w:val="nil"/>
        </w:pBdr>
        <w:spacing w:after="120" w:line="275" w:lineRule="auto"/>
        <w:jc w:val="both"/>
        <w:rPr>
          <w:rFonts w:ascii="Calibri" w:eastAsia="Google Sans Text" w:hAnsi="Calibri" w:cs="Calibri"/>
          <w:color w:val="1B1C1D"/>
        </w:rPr>
      </w:pPr>
      <w:r w:rsidRPr="00000523">
        <w:rPr>
          <w:rFonts w:ascii="Calibri" w:eastAsia="Google Sans Text" w:hAnsi="Calibri" w:cs="Calibri"/>
          <w:color w:val="1B1C1D"/>
        </w:rPr>
        <w:t>При таком сценарии:</w:t>
      </w:r>
    </w:p>
    <w:p w14:paraId="5662AF9A" w14:textId="77777777" w:rsidR="00A7701B" w:rsidRPr="00000523" w:rsidRDefault="00000000" w:rsidP="00000523">
      <w:pPr>
        <w:numPr>
          <w:ilvl w:val="0"/>
          <w:numId w:val="3"/>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b/>
          <w:color w:val="1B1C1D"/>
        </w:rPr>
        <w:t>Крупномасштабные АЭС:</w:t>
      </w:r>
      <w:r w:rsidRPr="00000523">
        <w:rPr>
          <w:rFonts w:ascii="Calibri" w:eastAsia="Google Sans Text" w:hAnsi="Calibri" w:cs="Calibri"/>
          <w:color w:val="1B1C1D"/>
        </w:rPr>
        <w:t xml:space="preserve"> Самый быстрый путь, VVER-1200 (69 месяцев строительства), приведет к вводу в эксплуатацию не ранее 2041 года (15.75 лет). Надежный APR-1400 (84–97 месяцев) — не ранее 2042–2043 годов (17–18 лет).</w:t>
      </w:r>
    </w:p>
    <w:p w14:paraId="22F79C36" w14:textId="77777777" w:rsidR="00A7701B" w:rsidRPr="00000523" w:rsidRDefault="00000000" w:rsidP="00000523">
      <w:pPr>
        <w:numPr>
          <w:ilvl w:val="0"/>
          <w:numId w:val="3"/>
        </w:numPr>
        <w:pBdr>
          <w:top w:val="nil"/>
          <w:left w:val="nil"/>
          <w:bottom w:val="nil"/>
          <w:right w:val="nil"/>
          <w:between w:val="nil"/>
        </w:pBdr>
        <w:spacing w:after="120" w:line="275" w:lineRule="auto"/>
        <w:jc w:val="both"/>
        <w:rPr>
          <w:rFonts w:ascii="Calibri" w:hAnsi="Calibri" w:cs="Calibri"/>
        </w:rPr>
      </w:pPr>
      <w:r w:rsidRPr="00000523">
        <w:rPr>
          <w:rFonts w:ascii="Calibri" w:eastAsia="Google Sans Text" w:hAnsi="Calibri" w:cs="Calibri"/>
          <w:b/>
          <w:color w:val="1B1C1D"/>
        </w:rPr>
        <w:lastRenderedPageBreak/>
        <w:t>ММР:</w:t>
      </w:r>
      <w:r w:rsidRPr="00000523">
        <w:rPr>
          <w:rFonts w:ascii="Calibri" w:eastAsia="Google Sans Text" w:hAnsi="Calibri" w:cs="Calibri"/>
          <w:color w:val="1B1C1D"/>
        </w:rPr>
        <w:t xml:space="preserve"> Если удастся достичь целевого срока строительства NOAK (30–36 месяцев), ввод в эксплуатацию может начаться уже к 2037–2038 годам (12.5–13 лет).</w:t>
      </w:r>
    </w:p>
    <w:p w14:paraId="1030815D" w14:textId="77777777" w:rsidR="00A7701B" w:rsidRPr="00000523" w:rsidRDefault="00000000" w:rsidP="00000523">
      <w:pPr>
        <w:pBdr>
          <w:top w:val="nil"/>
          <w:left w:val="nil"/>
          <w:bottom w:val="nil"/>
          <w:right w:val="nil"/>
          <w:between w:val="nil"/>
        </w:pBdr>
        <w:spacing w:before="240" w:after="240" w:line="275" w:lineRule="auto"/>
        <w:jc w:val="both"/>
        <w:rPr>
          <w:rFonts w:ascii="Calibri" w:eastAsia="Google Sans Text" w:hAnsi="Calibri" w:cs="Calibri"/>
          <w:color w:val="1B1C1D"/>
        </w:rPr>
      </w:pPr>
      <w:r w:rsidRPr="00000523">
        <w:rPr>
          <w:rFonts w:ascii="Calibri" w:eastAsia="Google Sans Text" w:hAnsi="Calibri" w:cs="Calibri"/>
          <w:color w:val="1B1C1D"/>
        </w:rPr>
        <w:t>Эти расчеты подчеркивают, что не существует "быстрого" решения для Сербии. Любая задержка в Фазе 2 (развитие регуляторной базы) неизбежно сдвинет ввод мощностей за пределы 2040 года, что создает серьезные проблемы для выполнения плана по удовлетворению спроса к 2050 году. Единственный способ сократить общий график проекта — максимально ускорить Фазу 2, используя международный опыт (МАГАТЭ) и привлекая консультантов.</w:t>
      </w:r>
    </w:p>
    <w:p w14:paraId="2A6571BD"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19" w:name="_Toc210582181"/>
      <w:r w:rsidRPr="00000523">
        <w:rPr>
          <w:rFonts w:ascii="Calibri" w:eastAsia="Google Sans" w:hAnsi="Calibri" w:cs="Calibri"/>
          <w:color w:val="1B1C1D"/>
        </w:rPr>
        <w:t>5.2. Сравнительный анализ сроков строительства и ввода в эксплуатацию</w:t>
      </w:r>
      <w:bookmarkEnd w:id="19"/>
    </w:p>
    <w:p w14:paraId="12E372D9" w14:textId="77777777" w:rsidR="00A7701B" w:rsidRPr="00000523" w:rsidRDefault="00000000" w:rsidP="00000523">
      <w:pPr>
        <w:pBdr>
          <w:top w:val="nil"/>
          <w:left w:val="nil"/>
          <w:bottom w:val="nil"/>
          <w:right w:val="nil"/>
          <w:between w:val="nil"/>
        </w:pBdr>
        <w:spacing w:after="120" w:line="275" w:lineRule="auto"/>
        <w:jc w:val="both"/>
        <w:rPr>
          <w:rFonts w:ascii="Calibri" w:eastAsia="Google Sans Text" w:hAnsi="Calibri" w:cs="Calibri"/>
          <w:color w:val="1B1C1D"/>
        </w:rPr>
      </w:pPr>
      <w:r w:rsidRPr="00000523">
        <w:rPr>
          <w:rFonts w:ascii="Calibri" w:eastAsia="Google Sans Text" w:hAnsi="Calibri" w:cs="Calibri"/>
          <w:color w:val="1B1C1D"/>
        </w:rPr>
        <w:t>Выбор вендора влияет на сроки строительства следующим образом:</w:t>
      </w:r>
    </w:p>
    <w:p w14:paraId="3AB9A468" w14:textId="77777777" w:rsidR="00A7701B" w:rsidRPr="00000523" w:rsidRDefault="00000000" w:rsidP="00000523">
      <w:pPr>
        <w:numPr>
          <w:ilvl w:val="0"/>
          <w:numId w:val="4"/>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b/>
          <w:color w:val="1B1C1D"/>
        </w:rPr>
        <w:t>Надежность Восточных Вендоров:</w:t>
      </w:r>
      <w:r w:rsidRPr="00000523">
        <w:rPr>
          <w:rFonts w:ascii="Calibri" w:eastAsia="Google Sans Text" w:hAnsi="Calibri" w:cs="Calibri"/>
          <w:color w:val="1B1C1D"/>
        </w:rPr>
        <w:t xml:space="preserve"> Rosatom и KHNP предлагают наиболее реалистичные и краткие сроки строительства для крупномасштабных проектов Gen III+ (5.75–8 лет). Их опыт многосерийного строительства позволяет достигать экономии от масштаба и минимизировать задержки.</w:t>
      </w:r>
    </w:p>
    <w:p w14:paraId="7EE4FEBF" w14:textId="77777777" w:rsidR="00A7701B" w:rsidRPr="00000523" w:rsidRDefault="00000000" w:rsidP="00000523">
      <w:pPr>
        <w:numPr>
          <w:ilvl w:val="0"/>
          <w:numId w:val="4"/>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b/>
          <w:color w:val="1B1C1D"/>
        </w:rPr>
        <w:t>Риски Западных Вендоров:</w:t>
      </w:r>
      <w:r w:rsidRPr="00000523">
        <w:rPr>
          <w:rFonts w:ascii="Calibri" w:eastAsia="Google Sans Text" w:hAnsi="Calibri" w:cs="Calibri"/>
          <w:color w:val="1B1C1D"/>
        </w:rPr>
        <w:t xml:space="preserve"> Предложения от EDF и Westinghouse несут значительно более высокий риск проектной задержки, что, в свою очередь, может привести к катастрофическому росту стоимости финансирования, как это наблюдалось в европейских и американских проектах.</w:t>
      </w:r>
    </w:p>
    <w:p w14:paraId="320DE4D7" w14:textId="77777777" w:rsidR="00A7701B" w:rsidRPr="00000523" w:rsidRDefault="00000000" w:rsidP="00000523">
      <w:pPr>
        <w:numPr>
          <w:ilvl w:val="0"/>
          <w:numId w:val="4"/>
        </w:numPr>
        <w:pBdr>
          <w:top w:val="nil"/>
          <w:left w:val="nil"/>
          <w:bottom w:val="nil"/>
          <w:right w:val="nil"/>
          <w:between w:val="nil"/>
        </w:pBdr>
        <w:spacing w:after="120" w:line="275" w:lineRule="auto"/>
        <w:jc w:val="both"/>
        <w:rPr>
          <w:rFonts w:ascii="Calibri" w:hAnsi="Calibri" w:cs="Calibri"/>
        </w:rPr>
      </w:pPr>
      <w:r w:rsidRPr="00000523">
        <w:rPr>
          <w:rFonts w:ascii="Calibri" w:eastAsia="Google Sans Text" w:hAnsi="Calibri" w:cs="Calibri"/>
          <w:b/>
          <w:color w:val="1B1C1D"/>
        </w:rPr>
        <w:t>Преимущество ММР:</w:t>
      </w:r>
      <w:r w:rsidRPr="00000523">
        <w:rPr>
          <w:rFonts w:ascii="Calibri" w:eastAsia="Google Sans Text" w:hAnsi="Calibri" w:cs="Calibri"/>
          <w:color w:val="1B1C1D"/>
        </w:rPr>
        <w:t xml:space="preserve"> Если Сербия готова принять более высокую удельную капитальную стоимость FOAK ММР, ее общая проектная продолжительность сокращается на 3–5 лет по сравнению с крупной АЭС. Это сокращение является критически важной страховкой от рисков исполнения и задержек, характерных для крупных проектов.</w:t>
      </w:r>
    </w:p>
    <w:p w14:paraId="552A0865"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20" w:name="_Toc210582182"/>
      <w:r w:rsidRPr="00000523">
        <w:rPr>
          <w:rFonts w:ascii="Calibri" w:eastAsia="Google Sans" w:hAnsi="Calibri" w:cs="Calibri"/>
          <w:color w:val="1B1C1D"/>
        </w:rPr>
        <w:t>5.3. Обязательная таблица: Ожидаемая продолжительность этапов и вех по МАГАТЭ</w:t>
      </w:r>
      <w:bookmarkEnd w:id="20"/>
    </w:p>
    <w:p w14:paraId="7C70667C" w14:textId="0C23F876"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Таблица 5.1. Сравнительный анализ сроков и вех проекта АЭС в Сербии по стандартам МАГАТЭ NG-G-3.1</w:t>
      </w:r>
    </w:p>
    <w:p w14:paraId="7F18A019" w14:textId="77777777" w:rsidR="00A7701B" w:rsidRPr="00000523" w:rsidRDefault="00A7701B" w:rsidP="00000523">
      <w:pPr>
        <w:pBdr>
          <w:top w:val="nil"/>
          <w:left w:val="nil"/>
          <w:bottom w:val="nil"/>
          <w:right w:val="nil"/>
          <w:between w:val="nil"/>
        </w:pBdr>
        <w:spacing w:line="275" w:lineRule="auto"/>
        <w:jc w:val="both"/>
        <w:rPr>
          <w:rFonts w:ascii="Calibri" w:eastAsia="Google Sans Text" w:hAnsi="Calibri" w:cs="Calibr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A7701B" w:rsidRPr="00000523" w14:paraId="6BFAAEA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C2E56D"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Этап / Веха (МАГАТЭ NG-G-3.1)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E87AA9"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Ожидаемая Продолжительность Этапа (Годы)</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B68D2D"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Ожидаемое Наступление Вехи (Год Y, при Y=2025)</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529A6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Ключевые Действия Сербии</w:t>
            </w:r>
          </w:p>
        </w:tc>
      </w:tr>
      <w:tr w:rsidR="00A7701B" w:rsidRPr="00000523" w14:paraId="1DBE5B9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0AF47E"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ФАЗА 1: Рассмотрение</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5245B0"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3–5</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484873"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Веха 1: Y+3 — Y+5 (Информированное решение о программе)</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1069F9"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Завершение ТЭО, определение национальной политики </w:t>
            </w:r>
            <w:r w:rsidRPr="00000523">
              <w:rPr>
                <w:rFonts w:ascii="Calibri" w:eastAsia="Google Sans Text" w:hAnsi="Calibri" w:cs="Calibri"/>
                <w:color w:val="575B5F"/>
                <w:sz w:val="24"/>
                <w:szCs w:val="24"/>
                <w:vertAlign w:val="superscript"/>
              </w:rPr>
              <w:t>2</w:t>
            </w:r>
          </w:p>
        </w:tc>
      </w:tr>
      <w:tr w:rsidR="00A7701B" w:rsidRPr="00000523" w14:paraId="4295C243"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CC532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lastRenderedPageBreak/>
              <w:t>ФАЗА 2: Подготовка</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9EA17B"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5–8</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A5F33B"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Веха 2: Y+8 — Y+13 (Готовность к тендеру и контракту)</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70E889"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Разработка законов, создание регулятора, выбор площадки </w:t>
            </w:r>
            <w:r w:rsidRPr="00000523">
              <w:rPr>
                <w:rFonts w:ascii="Calibri" w:eastAsia="Google Sans Text" w:hAnsi="Calibri" w:cs="Calibri"/>
                <w:color w:val="575B5F"/>
                <w:sz w:val="24"/>
                <w:szCs w:val="24"/>
                <w:vertAlign w:val="superscript"/>
              </w:rPr>
              <w:t>5</w:t>
            </w:r>
          </w:p>
        </w:tc>
      </w:tr>
      <w:tr w:rsidR="00A7701B" w:rsidRPr="00000523" w14:paraId="59EF6684"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4A4CCD"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ФАЗА 3: Строительство</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70FA62"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2–3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427E5B"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Веха 3: Y+10 — Y+16 (Получение лицензии, Первый Бетон)</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F65388"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Финансовое закрытие, детальный дизайн</w:t>
            </w:r>
          </w:p>
        </w:tc>
      </w:tr>
      <w:tr w:rsidR="00A7701B" w:rsidRPr="00000523" w14:paraId="50B712F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3CB530"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Строительство (ВВЭР-1200, Оптимистичный сценарий)</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FFC71B"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5.75 (69 месяцев) </w:t>
            </w:r>
            <w:r w:rsidRPr="00000523">
              <w:rPr>
                <w:rFonts w:ascii="Calibri" w:eastAsia="Google Sans Text" w:hAnsi="Calibri" w:cs="Calibri"/>
                <w:color w:val="575B5F"/>
                <w:sz w:val="24"/>
                <w:szCs w:val="24"/>
                <w:vertAlign w:val="superscript"/>
              </w:rPr>
              <w:t>21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863A63"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 xml:space="preserve">Общий срок проекта: </w:t>
            </w:r>
            <w:r w:rsidRPr="00000523">
              <w:rPr>
                <w:rFonts w:ascii="Calibri" w:eastAsia="Google Sans Text" w:hAnsi="Calibri" w:cs="Calibri"/>
                <w:b/>
                <w:color w:val="1B1C1D"/>
              </w:rPr>
              <w:t>Y+15.75</w:t>
            </w:r>
            <w:r w:rsidRPr="00000523">
              <w:rPr>
                <w:rFonts w:ascii="Calibri" w:eastAsia="Google Sans Text" w:hAnsi="Calibri" w:cs="Calibri"/>
                <w:color w:val="1B1C1D"/>
              </w:rPr>
              <w:t xml:space="preserve"> (2041 г.)</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7AD12B"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Минимальный целевой срок для крупной АЭС</w:t>
            </w:r>
          </w:p>
        </w:tc>
      </w:tr>
      <w:tr w:rsidR="00A7701B" w:rsidRPr="00000523" w14:paraId="12EB350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609934"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Строительство (APR-1400, Доказанный сценарий)</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E22E32"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7–8 (84–97 месяцев) </w:t>
            </w:r>
            <w:r w:rsidRPr="00000523">
              <w:rPr>
                <w:rFonts w:ascii="Calibri" w:eastAsia="Google Sans Text" w:hAnsi="Calibri" w:cs="Calibri"/>
                <w:color w:val="575B5F"/>
                <w:sz w:val="24"/>
                <w:szCs w:val="24"/>
                <w:vertAlign w:val="superscript"/>
              </w:rPr>
              <w:t>20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12E08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 xml:space="preserve">Общий срок проекта: </w:t>
            </w:r>
            <w:r w:rsidRPr="00000523">
              <w:rPr>
                <w:rFonts w:ascii="Calibri" w:eastAsia="Google Sans Text" w:hAnsi="Calibri" w:cs="Calibri"/>
                <w:b/>
                <w:color w:val="1B1C1D"/>
              </w:rPr>
              <w:t>Y+17 — Y+19</w:t>
            </w:r>
            <w:r w:rsidRPr="00000523">
              <w:rPr>
                <w:rFonts w:ascii="Calibri" w:eastAsia="Google Sans Text" w:hAnsi="Calibri" w:cs="Calibri"/>
                <w:color w:val="1B1C1D"/>
              </w:rPr>
              <w:t xml:space="preserve"> (2042–2044 гг.)</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3C3C8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Надежный срок на основе мирового опыта</w:t>
            </w:r>
          </w:p>
        </w:tc>
      </w:tr>
      <w:tr w:rsidR="00A7701B" w:rsidRPr="00000523" w14:paraId="32279E2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5E1E8A"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000523">
              <w:rPr>
                <w:rFonts w:ascii="Calibri" w:eastAsia="Google Sans Text" w:hAnsi="Calibri" w:cs="Calibri"/>
                <w:b/>
                <w:color w:val="1B1C1D"/>
              </w:rPr>
              <w:t>Строительство (ММР, NOAK, Первый Модуль)</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C67B8A" w14:textId="77777777" w:rsidR="00A7701B" w:rsidRPr="00000523" w:rsidRDefault="00000000" w:rsidP="00000523">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2.5–3 (30–36 месяцев) </w:t>
            </w:r>
            <w:r w:rsidRPr="00000523">
              <w:rPr>
                <w:rFonts w:ascii="Calibri" w:eastAsia="Google Sans Text" w:hAnsi="Calibri" w:cs="Calibri"/>
                <w:color w:val="575B5F"/>
                <w:sz w:val="24"/>
                <w:szCs w:val="24"/>
                <w:vertAlign w:val="superscript"/>
              </w:rPr>
              <w:t>30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7E03B9"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 xml:space="preserve">Общий срок проекта: </w:t>
            </w:r>
            <w:r w:rsidRPr="00000523">
              <w:rPr>
                <w:rFonts w:ascii="Calibri" w:eastAsia="Google Sans Text" w:hAnsi="Calibri" w:cs="Calibri"/>
                <w:b/>
                <w:color w:val="1B1C1D"/>
              </w:rPr>
              <w:t>Y+12.5 — Y+16</w:t>
            </w:r>
            <w:r w:rsidRPr="00000523">
              <w:rPr>
                <w:rFonts w:ascii="Calibri" w:eastAsia="Google Sans Text" w:hAnsi="Calibri" w:cs="Calibri"/>
                <w:color w:val="1B1C1D"/>
              </w:rPr>
              <w:t xml:space="preserve"> (2037–2041 гг.)</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619896" w14:textId="77777777" w:rsidR="00A7701B" w:rsidRPr="00000523" w:rsidRDefault="00000000" w:rsidP="00000523">
            <w:pPr>
              <w:pBdr>
                <w:top w:val="nil"/>
                <w:left w:val="nil"/>
                <w:bottom w:val="nil"/>
                <w:right w:val="nil"/>
                <w:between w:val="nil"/>
              </w:pBdr>
              <w:spacing w:before="120" w:after="120" w:line="275" w:lineRule="auto"/>
              <w:jc w:val="both"/>
              <w:rPr>
                <w:rFonts w:ascii="Calibri" w:eastAsia="Google Sans Text" w:hAnsi="Calibri" w:cs="Calibri"/>
                <w:color w:val="1B1C1D"/>
              </w:rPr>
            </w:pPr>
            <w:r w:rsidRPr="00000523">
              <w:rPr>
                <w:rFonts w:ascii="Calibri" w:eastAsia="Google Sans Text" w:hAnsi="Calibri" w:cs="Calibri"/>
                <w:color w:val="1B1C1D"/>
              </w:rPr>
              <w:t>Максимальное сокращение периода IDC</w:t>
            </w:r>
          </w:p>
        </w:tc>
      </w:tr>
    </w:tbl>
    <w:p w14:paraId="34EB8BC6" w14:textId="77777777" w:rsidR="00A7701B" w:rsidRPr="00000523" w:rsidRDefault="00A7701B" w:rsidP="00000523">
      <w:pPr>
        <w:pBdr>
          <w:top w:val="nil"/>
          <w:left w:val="nil"/>
          <w:bottom w:val="nil"/>
          <w:right w:val="nil"/>
          <w:between w:val="nil"/>
        </w:pBdr>
        <w:spacing w:after="240" w:line="275" w:lineRule="auto"/>
        <w:jc w:val="both"/>
        <w:rPr>
          <w:rFonts w:ascii="Calibri" w:eastAsia="Google Sans Text" w:hAnsi="Calibri" w:cs="Calibri"/>
          <w:color w:val="1B1C1D"/>
        </w:rPr>
      </w:pPr>
    </w:p>
    <w:p w14:paraId="4B5DEE97" w14:textId="77777777" w:rsidR="00A7701B" w:rsidRPr="00000523" w:rsidRDefault="00000000" w:rsidP="00000523">
      <w:pPr>
        <w:pStyle w:val="2"/>
        <w:spacing w:before="0" w:after="120" w:line="275" w:lineRule="auto"/>
        <w:jc w:val="both"/>
        <w:rPr>
          <w:rFonts w:ascii="Calibri" w:eastAsia="Google Sans" w:hAnsi="Calibri" w:cs="Calibri"/>
          <w:color w:val="1B1C1D"/>
        </w:rPr>
      </w:pPr>
      <w:bookmarkStart w:id="21" w:name="_Toc210582183"/>
      <w:r w:rsidRPr="00000523">
        <w:rPr>
          <w:rFonts w:ascii="Calibri" w:eastAsia="Google Sans" w:hAnsi="Calibri" w:cs="Calibri"/>
          <w:color w:val="1B1C1D"/>
        </w:rPr>
        <w:t>РАЗДЕЛ VI: ВЫВОДЫ И СТРАТЕГИЧЕСКИЕ РЕКОМЕНДАЦИИ</w:t>
      </w:r>
      <w:bookmarkEnd w:id="21"/>
    </w:p>
    <w:p w14:paraId="1CDF7F82"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22" w:name="_Toc210582184"/>
      <w:r w:rsidRPr="00000523">
        <w:rPr>
          <w:rFonts w:ascii="Calibri" w:eastAsia="Google Sans" w:hAnsi="Calibri" w:cs="Calibri"/>
          <w:color w:val="1B1C1D"/>
        </w:rPr>
        <w:t>6.1. Синтез стратегического выбора технологии</w:t>
      </w:r>
      <w:bookmarkEnd w:id="22"/>
    </w:p>
    <w:p w14:paraId="29D618F8"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Анализ показывает, что стратегический выбор Сербии определяется сложным компромиссом между геополитической приемлемостью, финансовой стоимостью и риском исполнения проекта.</w:t>
      </w:r>
    </w:p>
    <w:p w14:paraId="1588B1F8"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 xml:space="preserve">Если Сербия приоритезирует </w:t>
      </w:r>
      <w:r w:rsidRPr="00000523">
        <w:rPr>
          <w:rFonts w:ascii="Calibri" w:eastAsia="Google Sans Text" w:hAnsi="Calibri" w:cs="Calibri"/>
          <w:b/>
          <w:color w:val="1B1C1D"/>
        </w:rPr>
        <w:t>минимизацию финансового риска и надежность сроков исполнения</w:t>
      </w:r>
      <w:r w:rsidRPr="00000523">
        <w:rPr>
          <w:rFonts w:ascii="Calibri" w:eastAsia="Google Sans Text" w:hAnsi="Calibri" w:cs="Calibri"/>
          <w:color w:val="1B1C1D"/>
        </w:rPr>
        <w:t xml:space="preserve"> для крупномасштабного проекта, KHNP с реактором APR-1400 является наиболее оптимальным выбором. KHNP сочетает одну из самых низких удельных капитальных стоимостей (около $2,157/кВт) с проверенным, относительно коротким (7–8 лет) опытом экспортной реализации, что минимизирует как финансовые, так и политические риски, связанные с европейской интеграцией.</w:t>
      </w:r>
      <w:r w:rsidRPr="00000523">
        <w:rPr>
          <w:rFonts w:ascii="Calibri" w:eastAsia="Google Sans Text" w:hAnsi="Calibri" w:cs="Calibri"/>
          <w:color w:val="575B5F"/>
          <w:sz w:val="24"/>
          <w:szCs w:val="24"/>
          <w:vertAlign w:val="superscript"/>
        </w:rPr>
        <w:t>11</w:t>
      </w:r>
    </w:p>
    <w:p w14:paraId="382042B2"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1B1C1D"/>
        </w:rPr>
      </w:pPr>
      <w:r w:rsidRPr="00000523">
        <w:rPr>
          <w:rFonts w:ascii="Calibri" w:eastAsia="Google Sans Text" w:hAnsi="Calibri" w:cs="Calibri"/>
          <w:color w:val="1B1C1D"/>
        </w:rPr>
        <w:t xml:space="preserve">Если приоритет отдается </w:t>
      </w:r>
      <w:r w:rsidRPr="00000523">
        <w:rPr>
          <w:rFonts w:ascii="Calibri" w:eastAsia="Google Sans Text" w:hAnsi="Calibri" w:cs="Calibri"/>
          <w:b/>
          <w:color w:val="1B1C1D"/>
        </w:rPr>
        <w:t>минимальной стоимости капитала</w:t>
      </w:r>
      <w:r w:rsidRPr="00000523">
        <w:rPr>
          <w:rFonts w:ascii="Calibri" w:eastAsia="Google Sans Text" w:hAnsi="Calibri" w:cs="Calibri"/>
          <w:color w:val="1B1C1D"/>
        </w:rPr>
        <w:t xml:space="preserve">, предложение "Росатома" (ВВЭР-1200) является экономически непревзойденным благодаря льготному государственному </w:t>
      </w:r>
      <w:r w:rsidRPr="00000523">
        <w:rPr>
          <w:rFonts w:ascii="Calibri" w:eastAsia="Google Sans Text" w:hAnsi="Calibri" w:cs="Calibri"/>
          <w:color w:val="1B1C1D"/>
        </w:rPr>
        <w:lastRenderedPageBreak/>
        <w:t>финансированию и низким показателям Overnight Cost.</w:t>
      </w:r>
      <w:r w:rsidRPr="00000523">
        <w:rPr>
          <w:rFonts w:ascii="Calibri" w:eastAsia="Google Sans Text" w:hAnsi="Calibri" w:cs="Calibri"/>
          <w:color w:val="575B5F"/>
          <w:sz w:val="24"/>
          <w:szCs w:val="24"/>
          <w:vertAlign w:val="superscript"/>
        </w:rPr>
        <w:t>1</w:t>
      </w:r>
      <w:r w:rsidRPr="00000523">
        <w:rPr>
          <w:rFonts w:ascii="Calibri" w:eastAsia="Google Sans Text" w:hAnsi="Calibri" w:cs="Calibri"/>
          <w:color w:val="1B1C1D"/>
        </w:rPr>
        <w:t xml:space="preserve"> Выбор России, однако, требует разработки четкой стратегии по смягчению потенциального конфликта с требованиями ЕС о согласовании внешней политики.</w:t>
      </w:r>
    </w:p>
    <w:p w14:paraId="48AB8B11" w14:textId="77777777" w:rsidR="00A7701B" w:rsidRPr="00000523" w:rsidRDefault="00000000" w:rsidP="0000052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000523">
        <w:rPr>
          <w:rFonts w:ascii="Calibri" w:eastAsia="Google Sans Text" w:hAnsi="Calibri" w:cs="Calibri"/>
          <w:color w:val="1B1C1D"/>
        </w:rPr>
        <w:t>Западные предложения от EDF и Westinghouse, несмотря на их политическую привлекательность для ЕС, несут максимальный риск задержек и перерасхода средств. Их высокие оценочные стоимости (например, $8,300–$10,375/кВт для AP1000 NOAK) делают их неконкурентоспособными без массированной государственной субсидии или кредитных гарантий от США/ЕС.</w:t>
      </w:r>
      <w:r w:rsidRPr="00000523">
        <w:rPr>
          <w:rFonts w:ascii="Calibri" w:eastAsia="Google Sans Text" w:hAnsi="Calibri" w:cs="Calibri"/>
          <w:color w:val="575B5F"/>
          <w:sz w:val="24"/>
          <w:szCs w:val="24"/>
          <w:vertAlign w:val="superscript"/>
        </w:rPr>
        <w:t>24</w:t>
      </w:r>
    </w:p>
    <w:p w14:paraId="246301BF" w14:textId="77777777" w:rsidR="00A7701B" w:rsidRPr="00000523" w:rsidRDefault="00000000" w:rsidP="00000523">
      <w:pPr>
        <w:pStyle w:val="3"/>
        <w:spacing w:before="0" w:after="120" w:line="275" w:lineRule="auto"/>
        <w:jc w:val="both"/>
        <w:rPr>
          <w:rFonts w:ascii="Calibri" w:eastAsia="Google Sans" w:hAnsi="Calibri" w:cs="Calibri"/>
          <w:color w:val="1B1C1D"/>
        </w:rPr>
      </w:pPr>
      <w:bookmarkStart w:id="23" w:name="_Toc210582185"/>
      <w:r w:rsidRPr="00000523">
        <w:rPr>
          <w:rFonts w:ascii="Calibri" w:eastAsia="Google Sans" w:hAnsi="Calibri" w:cs="Calibri"/>
          <w:color w:val="1B1C1D"/>
        </w:rPr>
        <w:t>6.2. Рекомендации по ускорению программы и управлению рисками</w:t>
      </w:r>
      <w:bookmarkEnd w:id="23"/>
    </w:p>
    <w:p w14:paraId="0442BE0C" w14:textId="77777777" w:rsidR="00A7701B" w:rsidRPr="00000523" w:rsidRDefault="00000000" w:rsidP="00000523">
      <w:pPr>
        <w:pBdr>
          <w:top w:val="nil"/>
          <w:left w:val="nil"/>
          <w:bottom w:val="nil"/>
          <w:right w:val="nil"/>
          <w:between w:val="nil"/>
        </w:pBdr>
        <w:spacing w:after="120" w:line="275" w:lineRule="auto"/>
        <w:jc w:val="both"/>
        <w:rPr>
          <w:rFonts w:ascii="Calibri" w:eastAsia="Google Sans Text" w:hAnsi="Calibri" w:cs="Calibri"/>
          <w:color w:val="1B1C1D"/>
        </w:rPr>
      </w:pPr>
      <w:r w:rsidRPr="00000523">
        <w:rPr>
          <w:rFonts w:ascii="Calibri" w:eastAsia="Google Sans Text" w:hAnsi="Calibri" w:cs="Calibri"/>
          <w:color w:val="1B1C1D"/>
        </w:rPr>
        <w:t>Для успешной реализации ядерной программы Сербия должна принять гибридную стратегию, направленную на ускорение Фазы 2 МАГАТЭ и диверсификацию технологий для управления рисками:</w:t>
      </w:r>
    </w:p>
    <w:p w14:paraId="0F81823E" w14:textId="77777777" w:rsidR="00A7701B" w:rsidRPr="00000523" w:rsidRDefault="00000000" w:rsidP="00000523">
      <w:pPr>
        <w:numPr>
          <w:ilvl w:val="0"/>
          <w:numId w:val="5"/>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b/>
          <w:color w:val="1B1C1D"/>
        </w:rPr>
        <w:t>Максимальное Ускорение Инфраструктуры:</w:t>
      </w:r>
      <w:r w:rsidRPr="00000523">
        <w:rPr>
          <w:rFonts w:ascii="Calibri" w:eastAsia="Google Sans Text" w:hAnsi="Calibri" w:cs="Calibri"/>
          <w:color w:val="1B1C1D"/>
        </w:rPr>
        <w:t xml:space="preserve"> Сербия должна активно сотрудничать с МАГАТЭ, проводя миссии INIR (Integrated Nuclear Infrastructure Review), и использовать внешних консультантов (например, EDF) для параллельной разработки регуляторной и законодательной базы.</w:t>
      </w:r>
      <w:r w:rsidRPr="00000523">
        <w:rPr>
          <w:rFonts w:ascii="Calibri" w:eastAsia="Google Sans Text" w:hAnsi="Calibri" w:cs="Calibri"/>
          <w:color w:val="575B5F"/>
          <w:sz w:val="24"/>
          <w:szCs w:val="24"/>
          <w:vertAlign w:val="superscript"/>
        </w:rPr>
        <w:t>16</w:t>
      </w:r>
      <w:r w:rsidRPr="00000523">
        <w:rPr>
          <w:rFonts w:ascii="Calibri" w:eastAsia="Google Sans Text" w:hAnsi="Calibri" w:cs="Calibri"/>
          <w:color w:val="1B1C1D"/>
        </w:rPr>
        <w:t xml:space="preserve"> Только сокращение Фаз 1–2 до минимального порога (8–10 лет) позволит ввести крупные мощности до 2040 года.</w:t>
      </w:r>
    </w:p>
    <w:p w14:paraId="766E3A9E" w14:textId="77777777" w:rsidR="00A7701B" w:rsidRPr="00000523" w:rsidRDefault="00000000" w:rsidP="00000523">
      <w:pPr>
        <w:numPr>
          <w:ilvl w:val="0"/>
          <w:numId w:val="5"/>
        </w:numPr>
        <w:pBdr>
          <w:top w:val="nil"/>
          <w:left w:val="nil"/>
          <w:bottom w:val="nil"/>
          <w:right w:val="nil"/>
          <w:between w:val="nil"/>
        </w:pBdr>
        <w:spacing w:line="275" w:lineRule="auto"/>
        <w:jc w:val="both"/>
        <w:rPr>
          <w:rFonts w:ascii="Calibri" w:hAnsi="Calibri" w:cs="Calibri"/>
        </w:rPr>
      </w:pPr>
      <w:r w:rsidRPr="00000523">
        <w:rPr>
          <w:rFonts w:ascii="Calibri" w:eastAsia="Google Sans Text" w:hAnsi="Calibri" w:cs="Calibri"/>
          <w:b/>
          <w:color w:val="1B1C1D"/>
        </w:rPr>
        <w:t>Стратегическое Использование ММР:</w:t>
      </w:r>
      <w:r w:rsidRPr="00000523">
        <w:rPr>
          <w:rFonts w:ascii="Calibri" w:eastAsia="Google Sans Text" w:hAnsi="Calibri" w:cs="Calibri"/>
          <w:color w:val="1B1C1D"/>
        </w:rPr>
        <w:t xml:space="preserve"> Рассмотрение ММР должно быть приоритетом, поскольку их короткие сроки строительства (30–36 месяцев) позволяют ввести первые мощности раньше (Y+12–16) и начать генерировать доход, компенсируя более высокую удельную капитальную стоимость FOAK-проектов.</w:t>
      </w:r>
      <w:r w:rsidRPr="00000523">
        <w:rPr>
          <w:rFonts w:ascii="Calibri" w:eastAsia="Google Sans Text" w:hAnsi="Calibri" w:cs="Calibri"/>
          <w:color w:val="575B5F"/>
          <w:sz w:val="24"/>
          <w:szCs w:val="24"/>
          <w:vertAlign w:val="superscript"/>
        </w:rPr>
        <w:t>29</w:t>
      </w:r>
      <w:r w:rsidRPr="00000523">
        <w:rPr>
          <w:rFonts w:ascii="Calibri" w:eastAsia="Google Sans Text" w:hAnsi="Calibri" w:cs="Calibri"/>
          <w:color w:val="1B1C1D"/>
        </w:rPr>
        <w:t xml:space="preserve"> ММР обеспечивают эффективную «финансовую страховку» против катастрофических задержек, присущих крупным проектам.</w:t>
      </w:r>
    </w:p>
    <w:p w14:paraId="7DCBC524" w14:textId="77777777" w:rsidR="00A7701B" w:rsidRPr="00000523" w:rsidRDefault="00000000" w:rsidP="00000523">
      <w:pPr>
        <w:numPr>
          <w:ilvl w:val="0"/>
          <w:numId w:val="5"/>
        </w:numPr>
        <w:pBdr>
          <w:top w:val="nil"/>
          <w:left w:val="nil"/>
          <w:bottom w:val="nil"/>
          <w:right w:val="nil"/>
          <w:between w:val="nil"/>
        </w:pBdr>
        <w:spacing w:after="120" w:line="275" w:lineRule="auto"/>
        <w:jc w:val="both"/>
        <w:rPr>
          <w:rFonts w:ascii="Calibri" w:hAnsi="Calibri" w:cs="Calibri"/>
        </w:rPr>
      </w:pPr>
      <w:r w:rsidRPr="00000523">
        <w:rPr>
          <w:rFonts w:ascii="Calibri" w:eastAsia="Google Sans Text" w:hAnsi="Calibri" w:cs="Calibri"/>
          <w:b/>
          <w:color w:val="1B1C1D"/>
        </w:rPr>
        <w:t>Обеспечение Финансирования:</w:t>
      </w:r>
      <w:r w:rsidRPr="00000523">
        <w:rPr>
          <w:rFonts w:ascii="Calibri" w:eastAsia="Google Sans Text" w:hAnsi="Calibri" w:cs="Calibri"/>
          <w:color w:val="1B1C1D"/>
        </w:rPr>
        <w:t xml:space="preserve"> Независимо от выбора вендора, Сербия должна обеспечить государственные гарантии или долгосрочные контракты на покупку электроэнергии (PPA), чтобы снизить риски для кредиторов и, соответственно, Cost of Capital. Это является обязательным условием для обеспечения конкурентоспособности LCOE любого нового ядерного проекта.</w:t>
      </w:r>
      <w:r w:rsidRPr="00000523">
        <w:rPr>
          <w:rFonts w:ascii="Calibri" w:eastAsia="Google Sans Text" w:hAnsi="Calibri" w:cs="Calibri"/>
          <w:color w:val="575B5F"/>
          <w:sz w:val="24"/>
          <w:szCs w:val="24"/>
          <w:vertAlign w:val="superscript"/>
        </w:rPr>
        <w:t>11</w:t>
      </w:r>
    </w:p>
    <w:p w14:paraId="0D56FF20" w14:textId="77777777" w:rsidR="00A7701B" w:rsidRPr="00000523" w:rsidRDefault="00000000" w:rsidP="00000523">
      <w:pPr>
        <w:pStyle w:val="4"/>
        <w:jc w:val="both"/>
        <w:rPr>
          <w:rFonts w:ascii="Calibri" w:eastAsia="Google Sans" w:hAnsi="Calibri" w:cs="Calibri"/>
        </w:rPr>
      </w:pPr>
      <w:r w:rsidRPr="00000523">
        <w:rPr>
          <w:rFonts w:ascii="Calibri" w:eastAsia="Google Sans" w:hAnsi="Calibri" w:cs="Calibri"/>
        </w:rPr>
        <w:t>Источники</w:t>
      </w:r>
    </w:p>
    <w:p w14:paraId="5D862AA4"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Serbia in talks with Russia on nuclear power plant construction - bne IntelliNews, дата последнего обращения: сентября 29, 2025, </w:t>
      </w:r>
      <w:hyperlink r:id="rId7">
        <w:r w:rsidR="00A7701B" w:rsidRPr="00000523">
          <w:rPr>
            <w:rFonts w:ascii="Calibri" w:eastAsia="Google Sans" w:hAnsi="Calibri" w:cs="Calibri"/>
            <w:color w:val="0000EE"/>
            <w:sz w:val="24"/>
            <w:szCs w:val="24"/>
            <w:u w:val="single"/>
          </w:rPr>
          <w:t>https://www.intellinews.com/serbia-in-talks-with-russia-on-nuclear-power-plant-construction-401696/</w:t>
        </w:r>
      </w:hyperlink>
    </w:p>
    <w:p w14:paraId="7F1EC25F"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Serbia in talks with Russia to build its first nuclear power plant - EUalive, дата последнего обращения: сентября 29, 2025, </w:t>
      </w:r>
      <w:hyperlink r:id="rId8">
        <w:r w:rsidR="00A7701B" w:rsidRPr="00000523">
          <w:rPr>
            <w:rFonts w:ascii="Calibri" w:eastAsia="Google Sans" w:hAnsi="Calibri" w:cs="Calibri"/>
            <w:color w:val="0000EE"/>
            <w:sz w:val="24"/>
            <w:szCs w:val="24"/>
            <w:u w:val="single"/>
          </w:rPr>
          <w:t>https://eualive.net/serbia-in-talks-with-russia-to-build-its-first-nuclear-power-plant/</w:t>
        </w:r>
      </w:hyperlink>
    </w:p>
    <w:p w14:paraId="5A13ACD2"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Moscow, Belgrade Discuss Building Serbia's First Nuclear Power Plant, дата последнего обращения: сентября 29, 2025, </w:t>
      </w:r>
      <w:hyperlink r:id="rId9">
        <w:r w:rsidR="00A7701B" w:rsidRPr="00000523">
          <w:rPr>
            <w:rFonts w:ascii="Calibri" w:eastAsia="Google Sans" w:hAnsi="Calibri" w:cs="Calibri"/>
            <w:color w:val="0000EE"/>
            <w:sz w:val="24"/>
            <w:szCs w:val="24"/>
            <w:u w:val="single"/>
          </w:rPr>
          <w:t>https://russiaspivottoasia.com/moscow-belgrade-discuss-building-serbias-first-nuclear-power-plant/</w:t>
        </w:r>
      </w:hyperlink>
    </w:p>
    <w:p w14:paraId="3FD9ED4C"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Serbia negotiating with Russia about construction of nuclear power plant - eKapija, дата </w:t>
      </w:r>
      <w:r w:rsidRPr="00000523">
        <w:rPr>
          <w:rFonts w:ascii="Calibri" w:eastAsia="Google Sans" w:hAnsi="Calibri" w:cs="Calibri"/>
          <w:sz w:val="24"/>
          <w:szCs w:val="24"/>
        </w:rPr>
        <w:lastRenderedPageBreak/>
        <w:t xml:space="preserve">последнего обращения: сентября 29, 2025, </w:t>
      </w:r>
      <w:hyperlink r:id="rId10">
        <w:r w:rsidR="00A7701B" w:rsidRPr="00000523">
          <w:rPr>
            <w:rFonts w:ascii="Calibri" w:eastAsia="Google Sans" w:hAnsi="Calibri" w:cs="Calibri"/>
            <w:color w:val="0000EE"/>
            <w:sz w:val="24"/>
            <w:szCs w:val="24"/>
            <w:u w:val="single"/>
          </w:rPr>
          <w:t>https://www.ekapija.com/en/news/5293155/serbia-negotiating-with-russia-about-construction-of-nuclear-power-plant</w:t>
        </w:r>
      </w:hyperlink>
    </w:p>
    <w:p w14:paraId="267163DD"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Milestones in the Development of a National Nuclear Power Infrastructure - IFNEC, дата последнего обращения: сентября 29, 2025, </w:t>
      </w:r>
      <w:hyperlink r:id="rId11">
        <w:r w:rsidR="00A7701B" w:rsidRPr="00000523">
          <w:rPr>
            <w:rFonts w:ascii="Calibri" w:eastAsia="Google Sans" w:hAnsi="Calibri" w:cs="Calibri"/>
            <w:color w:val="0000EE"/>
            <w:sz w:val="24"/>
            <w:szCs w:val="24"/>
            <w:u w:val="single"/>
          </w:rPr>
          <w:t>https://www.ifnec.org/ifnec/upload/docs/application/pdf/2019-01/9.m.vansickle_iaea_services_for_owner-operators_in_emerging_states.pdf</w:t>
        </w:r>
      </w:hyperlink>
    </w:p>
    <w:p w14:paraId="6710D44C"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Serbia, South Korea's KHNP to cooperate on nuclear energy, hydrogen, дата последнего обращения: сентября 29, 2025, </w:t>
      </w:r>
      <w:hyperlink r:id="rId12">
        <w:r w:rsidR="00A7701B" w:rsidRPr="00000523">
          <w:rPr>
            <w:rFonts w:ascii="Calibri" w:eastAsia="Google Sans" w:hAnsi="Calibri" w:cs="Calibri"/>
            <w:color w:val="0000EE"/>
            <w:sz w:val="24"/>
            <w:szCs w:val="24"/>
            <w:u w:val="single"/>
          </w:rPr>
          <w:t>https://balkangreenenergynews.com/serbia-south-koreas-khnp-to-cooperate-on-nuclear-energy-hydrogen/</w:t>
        </w:r>
      </w:hyperlink>
    </w:p>
    <w:p w14:paraId="0BAD5E99"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Nuclear facility: Russia and Serbia have begun negotiations on construction of nuclear power plant - Apa.az, дата последнего обращения: сентября 29, 2025, </w:t>
      </w:r>
      <w:hyperlink r:id="rId13">
        <w:r w:rsidR="00A7701B" w:rsidRPr="00000523">
          <w:rPr>
            <w:rFonts w:ascii="Calibri" w:eastAsia="Google Sans" w:hAnsi="Calibri" w:cs="Calibri"/>
            <w:color w:val="0000EE"/>
            <w:sz w:val="24"/>
            <w:szCs w:val="24"/>
            <w:u w:val="single"/>
          </w:rPr>
          <w:t>https://en.apa.az/cis-countries/nuclear-facility-russia-and-serbia-have-begun-negotiations-on-construction-of-nuclear-power-plant-477976</w:t>
        </w:r>
      </w:hyperlink>
    </w:p>
    <w:p w14:paraId="1512D825"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APR-1400 - Wikipedia, дата последнего обращения: сентября 29, 2025, </w:t>
      </w:r>
      <w:hyperlink r:id="rId14">
        <w:r w:rsidR="00A7701B" w:rsidRPr="00000523">
          <w:rPr>
            <w:rFonts w:ascii="Calibri" w:eastAsia="Google Sans" w:hAnsi="Calibri" w:cs="Calibri"/>
            <w:color w:val="0000EE"/>
            <w:sz w:val="24"/>
            <w:szCs w:val="24"/>
            <w:u w:val="single"/>
          </w:rPr>
          <w:t>https://en.wikipedia.org/wiki/APR-1400</w:t>
        </w:r>
      </w:hyperlink>
    </w:p>
    <w:p w14:paraId="0EFABEA3"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Serbia's Nuclear Energy Quest Opens Geopolitical Flash Point For China, Russia, And The West, дата последнего обращения: сентября 29, 2025, </w:t>
      </w:r>
      <w:hyperlink r:id="rId15">
        <w:r w:rsidR="00A7701B" w:rsidRPr="00000523">
          <w:rPr>
            <w:rFonts w:ascii="Calibri" w:eastAsia="Google Sans" w:hAnsi="Calibri" w:cs="Calibri"/>
            <w:color w:val="0000EE"/>
            <w:sz w:val="24"/>
            <w:szCs w:val="24"/>
            <w:u w:val="single"/>
          </w:rPr>
          <w:t>https://www.rferl.org/a/serbia-nuclear-energy-hungary-china-rosatom-paks/33029040.html</w:t>
        </w:r>
      </w:hyperlink>
    </w:p>
    <w:p w14:paraId="447039B9"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EU sanctions against Russia: alignment of the EU enlargement countries - European Parliament, дата последнего обращения: сентября 29, 2025, </w:t>
      </w:r>
      <w:hyperlink r:id="rId16">
        <w:r w:rsidR="00A7701B" w:rsidRPr="00000523">
          <w:rPr>
            <w:rFonts w:ascii="Calibri" w:eastAsia="Google Sans" w:hAnsi="Calibri" w:cs="Calibri"/>
            <w:color w:val="0000EE"/>
            <w:sz w:val="24"/>
            <w:szCs w:val="24"/>
            <w:u w:val="single"/>
          </w:rPr>
          <w:t>https://www.europarl.europa.eu/RegData/etudes/IDAN/2022/639327/EXPO_IDA(2022)639327_EN.pdf</w:t>
        </w:r>
      </w:hyperlink>
    </w:p>
    <w:p w14:paraId="20634520"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Beyond the Contract: What Kazakhstan's Rosatom Deal Says About Its Foreign Policy Balancing Act, дата последнего обращения: сентября 29, 2025, </w:t>
      </w:r>
      <w:hyperlink r:id="rId17">
        <w:r w:rsidR="00A7701B" w:rsidRPr="00000523">
          <w:rPr>
            <w:rFonts w:ascii="Calibri" w:eastAsia="Google Sans" w:hAnsi="Calibri" w:cs="Calibri"/>
            <w:color w:val="0000EE"/>
            <w:sz w:val="24"/>
            <w:szCs w:val="24"/>
            <w:u w:val="single"/>
          </w:rPr>
          <w:t>https://caspianpolicy.org/research/energy/beyond-the-contract-what-kazakhstans-rosatom-deal-says-about-its-foreign-policy-balancing-act</w:t>
        </w:r>
      </w:hyperlink>
    </w:p>
    <w:p w14:paraId="1B5FAB14"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New nuclear financing models need to be developed, says Putin, дата последнего обращения: сентября 29, 2025, </w:t>
      </w:r>
      <w:hyperlink r:id="rId18">
        <w:r w:rsidR="00A7701B" w:rsidRPr="00000523">
          <w:rPr>
            <w:rFonts w:ascii="Calibri" w:eastAsia="Google Sans" w:hAnsi="Calibri" w:cs="Calibri"/>
            <w:color w:val="0000EE"/>
            <w:sz w:val="24"/>
            <w:szCs w:val="24"/>
            <w:u w:val="single"/>
          </w:rPr>
          <w:t>https://world-nuclear-news.org/articles/putin-says-new-financing-models-need-to-be-developed-for-nuclear</w:t>
        </w:r>
      </w:hyperlink>
    </w:p>
    <w:p w14:paraId="4032D88F"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Financing Nuclear Energy, дата последнего обращения: сентября 29, 2025, </w:t>
      </w:r>
      <w:hyperlink r:id="rId19">
        <w:r w:rsidR="00A7701B" w:rsidRPr="00000523">
          <w:rPr>
            <w:rFonts w:ascii="Calibri" w:eastAsia="Google Sans" w:hAnsi="Calibri" w:cs="Calibri"/>
            <w:color w:val="0000EE"/>
            <w:sz w:val="24"/>
            <w:szCs w:val="24"/>
            <w:u w:val="single"/>
          </w:rPr>
          <w:t>https://world-nuclear.org/information-library/economic-aspects/financing-nuclear-energy</w:t>
        </w:r>
      </w:hyperlink>
    </w:p>
    <w:p w14:paraId="79AACBEC"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The Financing of Nuclear Power Plants, дата последнего обращения: сентября 29, 2025, </w:t>
      </w:r>
      <w:hyperlink r:id="rId20">
        <w:r w:rsidR="00A7701B" w:rsidRPr="00000523">
          <w:rPr>
            <w:rFonts w:ascii="Calibri" w:eastAsia="Google Sans" w:hAnsi="Calibri" w:cs="Calibri"/>
            <w:color w:val="0000EE"/>
            <w:sz w:val="24"/>
            <w:szCs w:val="24"/>
            <w:u w:val="single"/>
          </w:rPr>
          <w:t>https://www.oecd-nea.org/upload/docs/application/pdf/2019-12/financing-plants.pdf</w:t>
        </w:r>
      </w:hyperlink>
    </w:p>
    <w:p w14:paraId="285E251B"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Workforce planning for new nuclear power programmes - IAEA publications, дата последнего обращения: сентября 29, 2025, </w:t>
      </w:r>
      <w:hyperlink r:id="rId21">
        <w:r w:rsidR="00A7701B" w:rsidRPr="00000523">
          <w:rPr>
            <w:rFonts w:ascii="Calibri" w:eastAsia="Google Sans" w:hAnsi="Calibri" w:cs="Calibri"/>
            <w:color w:val="0000EE"/>
            <w:sz w:val="24"/>
            <w:szCs w:val="24"/>
            <w:u w:val="single"/>
          </w:rPr>
          <w:t>https://www-pub.iaea.org/MTCD/Publications/PDF/Pub1477_web.pdf</w:t>
        </w:r>
      </w:hyperlink>
    </w:p>
    <w:p w14:paraId="3EC246C3"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IAEA Nuclear Energy Series Specific Considerations and Milestones for a Research Reactor Project - IAEA Publications, дата последнего обращения: сентября 29, 2025, </w:t>
      </w:r>
      <w:hyperlink r:id="rId22">
        <w:r w:rsidR="00A7701B" w:rsidRPr="00000523">
          <w:rPr>
            <w:rFonts w:ascii="Calibri" w:eastAsia="Google Sans" w:hAnsi="Calibri" w:cs="Calibri"/>
            <w:color w:val="0000EE"/>
            <w:sz w:val="24"/>
            <w:szCs w:val="24"/>
            <w:u w:val="single"/>
          </w:rPr>
          <w:t>https://www-pub.iaea.org/MTCD/Publications/PDF/Pub1549_web.pdf</w:t>
        </w:r>
      </w:hyperlink>
    </w:p>
    <w:p w14:paraId="3E218B65"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IAEA's updated Milestones for nuclear-curious nations include a focus on SMRs, дата последнего обращения: сентября 29, 2025, </w:t>
      </w:r>
      <w:hyperlink r:id="rId23">
        <w:r w:rsidR="00A7701B" w:rsidRPr="00000523">
          <w:rPr>
            <w:rFonts w:ascii="Calibri" w:eastAsia="Google Sans" w:hAnsi="Calibri" w:cs="Calibri"/>
            <w:color w:val="0000EE"/>
            <w:sz w:val="24"/>
            <w:szCs w:val="24"/>
            <w:u w:val="single"/>
          </w:rPr>
          <w:t>https://www.ans.org/news/article-6292/iaeas-updated-milestones-for-nuclearcurious-nations-include-a-focus-on-smrs/</w:t>
        </w:r>
      </w:hyperlink>
    </w:p>
    <w:p w14:paraId="27ED7264"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lastRenderedPageBreak/>
        <w:t xml:space="preserve">IAEA Milestones Guidance Updated to Include Considerations for SMRs, дата последнего обращения: сентября 29, 2025, </w:t>
      </w:r>
      <w:hyperlink r:id="rId24">
        <w:r w:rsidR="00A7701B" w:rsidRPr="00000523">
          <w:rPr>
            <w:rFonts w:ascii="Calibri" w:eastAsia="Google Sans" w:hAnsi="Calibri" w:cs="Calibri"/>
            <w:color w:val="0000EE"/>
            <w:sz w:val="24"/>
            <w:szCs w:val="24"/>
            <w:u w:val="single"/>
          </w:rPr>
          <w:t>https://www.iaea.org/newscenter/news/iaea-milestones-guidance-updated-to-include-considerations-for-smrs</w:t>
        </w:r>
      </w:hyperlink>
    </w:p>
    <w:p w14:paraId="5B4A31DB"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CONSTRUCTION TIME OF PWRs - INIS-IAEA, дата последнего обращения: сентября 29, 2025, </w:t>
      </w:r>
      <w:hyperlink r:id="rId25">
        <w:r w:rsidR="00A7701B" w:rsidRPr="00000523">
          <w:rPr>
            <w:rFonts w:ascii="Calibri" w:eastAsia="Google Sans" w:hAnsi="Calibri" w:cs="Calibri"/>
            <w:color w:val="0000EE"/>
            <w:sz w:val="24"/>
            <w:szCs w:val="24"/>
            <w:u w:val="single"/>
          </w:rPr>
          <w:t>https://inis.iaea.org/collection/NCLCollectionStore/_Public/42/105/42105221.pdf</w:t>
        </w:r>
      </w:hyperlink>
    </w:p>
    <w:p w14:paraId="48677BFE"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Barakah nuclear power plant - Wikipedia, дата последнего обращения: сентября 29, 2025, </w:t>
      </w:r>
      <w:hyperlink r:id="rId26">
        <w:r w:rsidR="00A7701B" w:rsidRPr="00000523">
          <w:rPr>
            <w:rFonts w:ascii="Calibri" w:eastAsia="Google Sans" w:hAnsi="Calibri" w:cs="Calibri"/>
            <w:color w:val="0000EE"/>
            <w:sz w:val="24"/>
            <w:szCs w:val="24"/>
            <w:u w:val="single"/>
          </w:rPr>
          <w:t>https://en.wikipedia.org/wiki/Barakah_nuclear_power_plant</w:t>
        </w:r>
      </w:hyperlink>
    </w:p>
    <w:p w14:paraId="450CAC85"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ANNEX 4 – NUCLEAR REACTORS IN THE WORLD “UNDER CONSTRUCTION”, дата последнего обращения: сентября 29, 2025, </w:t>
      </w:r>
      <w:hyperlink r:id="rId27">
        <w:r w:rsidR="00A7701B" w:rsidRPr="00000523">
          <w:rPr>
            <w:rFonts w:ascii="Calibri" w:eastAsia="Google Sans" w:hAnsi="Calibri" w:cs="Calibri"/>
            <w:color w:val="0000EE"/>
            <w:sz w:val="24"/>
            <w:szCs w:val="24"/>
            <w:u w:val="single"/>
          </w:rPr>
          <w:t>https://www.worldnuclearreport.org/IMG/pdf/_table_24_-_nuclearreactorsunderconstructiondetails.pdf</w:t>
        </w:r>
      </w:hyperlink>
    </w:p>
    <w:p w14:paraId="12433DB7"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The Next Nuclear Renaissance? | Cato Institute, дата последнего обращения: сентября 29, 2025, </w:t>
      </w:r>
      <w:hyperlink r:id="rId28">
        <w:r w:rsidR="00A7701B" w:rsidRPr="00000523">
          <w:rPr>
            <w:rFonts w:ascii="Calibri" w:eastAsia="Google Sans" w:hAnsi="Calibri" w:cs="Calibri"/>
            <w:color w:val="0000EE"/>
            <w:sz w:val="24"/>
            <w:szCs w:val="24"/>
            <w:u w:val="single"/>
          </w:rPr>
          <w:t>https://www.cato.org/regulation/fall-2025/next-nuclear-renaissance</w:t>
        </w:r>
      </w:hyperlink>
    </w:p>
    <w:p w14:paraId="38A34F53"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Plant Vogtle Unit 4 begins commercial operation - U.S. Energy Information Administration (EIA), дата последнего обращения: сентября 29, 2025, </w:t>
      </w:r>
      <w:hyperlink r:id="rId29">
        <w:r w:rsidR="00A7701B" w:rsidRPr="00000523">
          <w:rPr>
            <w:rFonts w:ascii="Calibri" w:eastAsia="Google Sans" w:hAnsi="Calibri" w:cs="Calibri"/>
            <w:color w:val="0000EE"/>
            <w:sz w:val="24"/>
            <w:szCs w:val="24"/>
            <w:u w:val="single"/>
          </w:rPr>
          <w:t>https://www.eia.gov/todayinenergy/detail.php?id=61963</w:t>
        </w:r>
      </w:hyperlink>
    </w:p>
    <w:p w14:paraId="6C2705AE"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2024 Total Cost Projection of Next AP1000 - MIT, дата последнего обращения: сентября 29, 2025, </w:t>
      </w:r>
      <w:hyperlink r:id="rId30">
        <w:r w:rsidR="00A7701B" w:rsidRPr="00000523">
          <w:rPr>
            <w:rFonts w:ascii="Calibri" w:eastAsia="Google Sans" w:hAnsi="Calibri" w:cs="Calibri"/>
            <w:color w:val="0000EE"/>
            <w:sz w:val="24"/>
            <w:szCs w:val="24"/>
            <w:u w:val="single"/>
          </w:rPr>
          <w:t>https://web.mit.edu/kshirvan/www/research/ANP201%20TR%20CANES.pdf</w:t>
        </w:r>
      </w:hyperlink>
    </w:p>
    <w:p w14:paraId="3011DEF2"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Hualong One - Wikipedia, дата последнего обращения: сентября 29, 2025, </w:t>
      </w:r>
      <w:hyperlink r:id="rId31">
        <w:r w:rsidR="00A7701B" w:rsidRPr="00000523">
          <w:rPr>
            <w:rFonts w:ascii="Calibri" w:eastAsia="Google Sans" w:hAnsi="Calibri" w:cs="Calibri"/>
            <w:color w:val="0000EE"/>
            <w:sz w:val="24"/>
            <w:szCs w:val="24"/>
            <w:u w:val="single"/>
          </w:rPr>
          <w:t>https://en.wikipedia.org/wiki/Hualong_One</w:t>
        </w:r>
      </w:hyperlink>
    </w:p>
    <w:p w14:paraId="38A2B19F"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Small Nuclear Power Reactors, дата последнего обращения: сентября 29, 2025, </w:t>
      </w:r>
      <w:hyperlink r:id="rId32">
        <w:r w:rsidR="00A7701B" w:rsidRPr="00000523">
          <w:rPr>
            <w:rFonts w:ascii="Calibri" w:eastAsia="Google Sans" w:hAnsi="Calibri" w:cs="Calibri"/>
            <w:color w:val="0000EE"/>
            <w:sz w:val="24"/>
            <w:szCs w:val="24"/>
            <w:u w:val="single"/>
          </w:rPr>
          <w:t>https://world-nuclear.org/information-library/nuclear-fuel-cycle/nuclear-power-reactors/small-nuclear-power-reactors</w:t>
        </w:r>
      </w:hyperlink>
    </w:p>
    <w:p w14:paraId="5484F415"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Small Modular Reactors: Nuclear Energy Market Potential for Near-term Deployment, дата последнего обращения: сентября 29, 2025, </w:t>
      </w:r>
      <w:hyperlink r:id="rId33">
        <w:r w:rsidR="00A7701B" w:rsidRPr="00000523">
          <w:rPr>
            <w:rFonts w:ascii="Calibri" w:eastAsia="Google Sans" w:hAnsi="Calibri" w:cs="Calibri"/>
            <w:color w:val="0000EE"/>
            <w:sz w:val="24"/>
            <w:szCs w:val="24"/>
            <w:u w:val="single"/>
          </w:rPr>
          <w:t>https://www.oecd-nea.org/upload/docs/application/pdf/2019-12/7213-smrs.pdf</w:t>
        </w:r>
      </w:hyperlink>
    </w:p>
    <w:p w14:paraId="0B94A2DF"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Big Change Goes Small: Are Small Modular Reactors (SMRs) the Future of Nuclear Energy? - usitc, дата последнего обращения: сентября 29, 2025, </w:t>
      </w:r>
      <w:hyperlink r:id="rId34">
        <w:r w:rsidR="00A7701B" w:rsidRPr="00000523">
          <w:rPr>
            <w:rFonts w:ascii="Calibri" w:eastAsia="Google Sans" w:hAnsi="Calibri" w:cs="Calibri"/>
            <w:color w:val="0000EE"/>
            <w:sz w:val="24"/>
            <w:szCs w:val="24"/>
            <w:u w:val="single"/>
          </w:rPr>
          <w:t>https://www.usitc.gov/sites/default/files/publications/332/working_papers/smrs_fo_ma.pdf</w:t>
        </w:r>
      </w:hyperlink>
    </w:p>
    <w:p w14:paraId="6039054C"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Faster, Cheaper, Smarter? The Promise and Pitfalls of Small Modular Reactors | GLOBSEC, дата последнего обращения: сентября 29, 2025, </w:t>
      </w:r>
      <w:hyperlink r:id="rId35">
        <w:r w:rsidR="00A7701B" w:rsidRPr="00000523">
          <w:rPr>
            <w:rFonts w:ascii="Calibri" w:eastAsia="Google Sans" w:hAnsi="Calibri" w:cs="Calibri"/>
            <w:color w:val="0000EE"/>
            <w:sz w:val="24"/>
            <w:szCs w:val="24"/>
            <w:u w:val="single"/>
          </w:rPr>
          <w:t>https://www.globsec.org/what-we-do/commentaries/faster-cheaper-smarter-promise-and-pitfalls-small-modular-reactors</w:t>
        </w:r>
      </w:hyperlink>
    </w:p>
    <w:p w14:paraId="068D2EF9"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The Economics of Small Modular Reactors - March 2021 - Nuclear Energy Institute, дата последнего обращения: сентября 29, 2025, </w:t>
      </w:r>
      <w:hyperlink r:id="rId36">
        <w:r w:rsidR="00A7701B" w:rsidRPr="00000523">
          <w:rPr>
            <w:rFonts w:ascii="Calibri" w:eastAsia="Google Sans" w:hAnsi="Calibri" w:cs="Calibri"/>
            <w:color w:val="0000EE"/>
            <w:sz w:val="24"/>
            <w:szCs w:val="24"/>
            <w:u w:val="single"/>
          </w:rPr>
          <w:t>https://www.nei.org/CorporateSite/media/filefolder/advanced/SMR-Start-Economic-Analysis-2021-(APPROVED-2021-03-22).pdf</w:t>
        </w:r>
      </w:hyperlink>
    </w:p>
    <w:p w14:paraId="714FAB52"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Rolls-Royce on track for 2030 delivery of UK SMR - World Nuclear News, дата последнего обращения: сентября 29, 2025, </w:t>
      </w:r>
      <w:hyperlink r:id="rId37">
        <w:r w:rsidR="00A7701B" w:rsidRPr="00000523">
          <w:rPr>
            <w:rFonts w:ascii="Calibri" w:eastAsia="Google Sans" w:hAnsi="Calibri" w:cs="Calibri"/>
            <w:color w:val="0000EE"/>
            <w:sz w:val="24"/>
            <w:szCs w:val="24"/>
            <w:u w:val="single"/>
          </w:rPr>
          <w:t>https://www.world-nuclear-news.org/Articles/Rolls-Royce-on-track-for-2030-delivery-of-UK-SMR</w:t>
        </w:r>
      </w:hyperlink>
    </w:p>
    <w:p w14:paraId="186C50B8" w14:textId="77777777" w:rsidR="00A7701B" w:rsidRPr="00000523" w:rsidRDefault="00000000" w:rsidP="00000523">
      <w:pPr>
        <w:numPr>
          <w:ilvl w:val="0"/>
          <w:numId w:val="6"/>
        </w:numPr>
        <w:pBdr>
          <w:top w:val="nil"/>
          <w:left w:val="nil"/>
          <w:bottom w:val="nil"/>
          <w:right w:val="nil"/>
          <w:between w:val="nil"/>
        </w:pBdr>
        <w:jc w:val="both"/>
        <w:rPr>
          <w:rFonts w:ascii="Calibri" w:hAnsi="Calibri" w:cs="Calibri"/>
        </w:rPr>
      </w:pPr>
      <w:r w:rsidRPr="00000523">
        <w:rPr>
          <w:rFonts w:ascii="Calibri" w:eastAsia="Google Sans" w:hAnsi="Calibri" w:cs="Calibri"/>
          <w:sz w:val="24"/>
          <w:szCs w:val="24"/>
        </w:rPr>
        <w:t xml:space="preserve">Appendix 20 Nuclear Power - NetZero, дата последнего обращения: сентября 29, 2025, </w:t>
      </w:r>
      <w:hyperlink r:id="rId38">
        <w:r w:rsidR="00A7701B" w:rsidRPr="00000523">
          <w:rPr>
            <w:rFonts w:ascii="Calibri" w:eastAsia="Google Sans" w:hAnsi="Calibri" w:cs="Calibri"/>
            <w:color w:val="0000EE"/>
            <w:sz w:val="24"/>
            <w:szCs w:val="24"/>
            <w:u w:val="single"/>
          </w:rPr>
          <w:t>https://www.netzero.im/media/j1ijhktq/appendix-20-nuclear-power.pdf</w:t>
        </w:r>
      </w:hyperlink>
    </w:p>
    <w:sectPr w:rsidR="00A7701B" w:rsidRPr="00000523">
      <w:headerReference w:type="default" r:id="rId39"/>
      <w:footerReference w:type="default" r:id="rId4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81E9" w14:textId="77777777" w:rsidR="009A3EB7" w:rsidRDefault="009A3EB7" w:rsidP="008E7260">
      <w:r>
        <w:separator/>
      </w:r>
    </w:p>
  </w:endnote>
  <w:endnote w:type="continuationSeparator" w:id="0">
    <w:p w14:paraId="52C1F657" w14:textId="77777777" w:rsidR="009A3EB7" w:rsidRDefault="009A3EB7" w:rsidP="008E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3988D0BC-01BE-664E-9D38-682AE55D6C6A}"/>
    <w:embedBold r:id="rId2" w:fontKey="{4E8677EB-49ED-4D42-94F9-343EE6FFBED0}"/>
  </w:font>
  <w:font w:name="Times New Roman">
    <w:panose1 w:val="02020603050405020304"/>
    <w:charset w:val="00"/>
    <w:family w:val="roman"/>
    <w:pitch w:val="variable"/>
    <w:sig w:usb0="E0002EFF" w:usb1="C000785B" w:usb2="00000009" w:usb3="00000000" w:csb0="000001FF" w:csb1="00000000"/>
    <w:embedRegular r:id="rId3" w:fontKey="{A60E6297-EF5D-C440-9648-27F647079D1D}"/>
  </w:font>
  <w:font w:name="Georgia">
    <w:panose1 w:val="02040502050405020303"/>
    <w:charset w:val="00"/>
    <w:family w:val="roman"/>
    <w:pitch w:val="variable"/>
    <w:sig w:usb0="00000287" w:usb1="00000000" w:usb2="00000000" w:usb3="00000000" w:csb0="0000009F" w:csb1="00000000"/>
    <w:embedRegular r:id="rId4" w:fontKey="{94CA6FDC-201B-BB4E-A1FD-D24EC74FEBC3}"/>
    <w:embedItalic r:id="rId5" w:fontKey="{FA0E575D-6356-5C48-9A7D-8DCCC9421ABE}"/>
  </w:font>
  <w:font w:name="Calibri">
    <w:panose1 w:val="020F0502020204030204"/>
    <w:charset w:val="00"/>
    <w:family w:val="swiss"/>
    <w:pitch w:val="variable"/>
    <w:sig w:usb0="E4002EFF" w:usb1="C200247B" w:usb2="00000009" w:usb3="00000000" w:csb0="000001FF" w:csb1="00000000"/>
    <w:embedRegular r:id="rId6" w:fontKey="{E2A96846-B912-D54E-8A4B-4992CFF5911B}"/>
    <w:embedBold r:id="rId7" w:fontKey="{FEEA0D55-B9AA-4E47-9123-CBAFAE6B7809}"/>
  </w:font>
  <w:font w:name="Google Sans">
    <w:altName w:val="Calibri"/>
    <w:panose1 w:val="020B0604020202020204"/>
    <w:charset w:val="00"/>
    <w:family w:val="auto"/>
    <w:pitch w:val="default"/>
    <w:embedRegular r:id="rId8" w:fontKey="{F1ED282C-A494-9949-A5D1-88D7040B1ED4}"/>
    <w:embedBold r:id="rId9" w:fontKey="{29C93A29-C5B0-204E-9A66-7A814EBCA0DB}"/>
  </w:font>
  <w:font w:name="Google Sans Text">
    <w:altName w:val="Calibri"/>
    <w:panose1 w:val="020B0604020202020204"/>
    <w:charset w:val="00"/>
    <w:family w:val="auto"/>
    <w:pitch w:val="default"/>
    <w:embedRegular r:id="rId10" w:fontKey="{EE920C75-7864-5549-9039-C4772B943BD7}"/>
    <w:embedBold r:id="rId11" w:fontKey="{F66B98EC-AF4D-194F-9991-91937D8D354B}"/>
  </w:font>
  <w:font w:name="Calibri Light">
    <w:panose1 w:val="020F0302020204030204"/>
    <w:charset w:val="00"/>
    <w:family w:val="swiss"/>
    <w:pitch w:val="variable"/>
    <w:sig w:usb0="E0002AFF" w:usb1="C000247B" w:usb2="00000009" w:usb3="00000000" w:csb0="000001FF" w:csb1="00000000"/>
    <w:embedRegular r:id="rId12" w:fontKey="{346A7062-2F0C-2841-88A1-C1652E199702}"/>
  </w:font>
  <w:font w:name="Cambria">
    <w:panose1 w:val="02040503050406030204"/>
    <w:charset w:val="00"/>
    <w:family w:val="roman"/>
    <w:pitch w:val="variable"/>
    <w:sig w:usb0="E00006FF" w:usb1="420024FF" w:usb2="02000000" w:usb3="00000000" w:csb0="0000019F" w:csb1="00000000"/>
    <w:embedRegular r:id="rId13" w:fontKey="{41649542-AF1B-8141-8242-0D955259BC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3126" w14:textId="77777777" w:rsidR="008E7260" w:rsidRPr="00177B08" w:rsidRDefault="008E7260" w:rsidP="008E7260">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77835EC0" w14:textId="1EA9088C" w:rsidR="008E7260" w:rsidRPr="008E7260" w:rsidRDefault="008E7260" w:rsidP="008E7260">
    <w:pPr>
      <w:pStyle w:val="aa"/>
      <w:ind w:right="360"/>
      <w:rPr>
        <w:lang w:val="en-US"/>
      </w:rPr>
    </w:pPr>
    <w:r w:rsidRPr="00177B08">
      <w:rPr>
        <w:rFonts w:ascii="Calibri Light" w:eastAsia="Times New Roman" w:hAnsi="Calibri Light" w:cs="Calibri Light"/>
        <w:sz w:val="16"/>
        <w:szCs w:val="16"/>
        <w:lang w:val="en-US"/>
      </w:rPr>
      <w:t xml:space="preserve">© Copyright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xml:space="preserve"> </w:t>
    </w:r>
    <w:r w:rsidRPr="00815D3A">
      <w:rPr>
        <w:rFonts w:ascii="Calibri Light" w:eastAsia="Times New Roman" w:hAnsi="Calibri Light" w:cs="Calibri Light"/>
        <w:sz w:val="16"/>
        <w:szCs w:val="16"/>
        <w:lang w:val="en-US"/>
      </w:rPr>
      <w:t>CONSULTING BUREAU BEOGRAD</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25AE" w14:textId="77777777" w:rsidR="009A3EB7" w:rsidRDefault="009A3EB7" w:rsidP="008E7260">
      <w:r>
        <w:separator/>
      </w:r>
    </w:p>
  </w:footnote>
  <w:footnote w:type="continuationSeparator" w:id="0">
    <w:p w14:paraId="71E4A3DE" w14:textId="77777777" w:rsidR="009A3EB7" w:rsidRDefault="009A3EB7" w:rsidP="008E7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3ABB" w14:textId="5503CA3F" w:rsidR="008E7260" w:rsidRDefault="008E7260">
    <w:pPr>
      <w:pStyle w:val="a8"/>
    </w:pPr>
    <w:r w:rsidRPr="002D0DD2">
      <w:rPr>
        <w:noProof/>
      </w:rPr>
      <w:drawing>
        <wp:anchor distT="0" distB="0" distL="114300" distR="114300" simplePos="0" relativeHeight="251659264" behindDoc="0" locked="0" layoutInCell="1" allowOverlap="1" wp14:anchorId="0D72BD97" wp14:editId="3DE05171">
          <wp:simplePos x="0" y="0"/>
          <wp:positionH relativeFrom="column">
            <wp:posOffset>2024</wp:posOffset>
          </wp:positionH>
          <wp:positionV relativeFrom="paragraph">
            <wp:posOffset>403274</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C2670"/>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4DD243C9"/>
    <w:multiLevelType w:val="multilevel"/>
    <w:tmpl w:val="78C2249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4F7325BB"/>
    <w:multiLevelType w:val="multilevel"/>
    <w:tmpl w:val="47E2FD8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68A55245"/>
    <w:multiLevelType w:val="multilevel"/>
    <w:tmpl w:val="C60C6E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729F07B1"/>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7AD62B96"/>
    <w:multiLevelType w:val="multilevel"/>
    <w:tmpl w:val="B5D8C0D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69000869">
    <w:abstractNumId w:val="3"/>
  </w:num>
  <w:num w:numId="2" w16cid:durableId="465272608">
    <w:abstractNumId w:val="4"/>
  </w:num>
  <w:num w:numId="3" w16cid:durableId="251477151">
    <w:abstractNumId w:val="2"/>
  </w:num>
  <w:num w:numId="4" w16cid:durableId="1538856785">
    <w:abstractNumId w:val="0"/>
  </w:num>
  <w:num w:numId="5" w16cid:durableId="917792365">
    <w:abstractNumId w:val="1"/>
  </w:num>
  <w:num w:numId="6" w16cid:durableId="170415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01B"/>
    <w:rsid w:val="00000523"/>
    <w:rsid w:val="00603180"/>
    <w:rsid w:val="008E7260"/>
    <w:rsid w:val="009A3EB7"/>
    <w:rsid w:val="00A7701B"/>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A62D0"/>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header"/>
    <w:basedOn w:val="a"/>
    <w:link w:val="a9"/>
    <w:uiPriority w:val="99"/>
    <w:unhideWhenUsed/>
    <w:rsid w:val="008E7260"/>
    <w:pPr>
      <w:tabs>
        <w:tab w:val="center" w:pos="4513"/>
        <w:tab w:val="right" w:pos="9026"/>
      </w:tabs>
    </w:pPr>
  </w:style>
  <w:style w:type="character" w:customStyle="1" w:styleId="a9">
    <w:name w:val="Верхний колонтитул Знак"/>
    <w:basedOn w:val="a0"/>
    <w:link w:val="a8"/>
    <w:uiPriority w:val="99"/>
    <w:rsid w:val="008E7260"/>
  </w:style>
  <w:style w:type="paragraph" w:styleId="aa">
    <w:name w:val="footer"/>
    <w:basedOn w:val="a"/>
    <w:link w:val="ab"/>
    <w:uiPriority w:val="99"/>
    <w:unhideWhenUsed/>
    <w:qFormat/>
    <w:rsid w:val="008E7260"/>
    <w:pPr>
      <w:tabs>
        <w:tab w:val="center" w:pos="4513"/>
        <w:tab w:val="right" w:pos="9026"/>
      </w:tabs>
    </w:pPr>
  </w:style>
  <w:style w:type="character" w:customStyle="1" w:styleId="ab">
    <w:name w:val="Нижний колонтитул Знак"/>
    <w:basedOn w:val="a0"/>
    <w:link w:val="aa"/>
    <w:uiPriority w:val="99"/>
    <w:rsid w:val="008E7260"/>
  </w:style>
  <w:style w:type="paragraph" w:styleId="20">
    <w:name w:val="toc 2"/>
    <w:basedOn w:val="a"/>
    <w:next w:val="a"/>
    <w:autoRedefine/>
    <w:uiPriority w:val="39"/>
    <w:unhideWhenUsed/>
    <w:rsid w:val="008E7260"/>
    <w:pPr>
      <w:spacing w:after="100"/>
      <w:ind w:left="220"/>
    </w:pPr>
  </w:style>
  <w:style w:type="paragraph" w:styleId="30">
    <w:name w:val="toc 3"/>
    <w:basedOn w:val="a"/>
    <w:next w:val="a"/>
    <w:autoRedefine/>
    <w:uiPriority w:val="39"/>
    <w:unhideWhenUsed/>
    <w:rsid w:val="008E7260"/>
    <w:pPr>
      <w:spacing w:after="100"/>
      <w:ind w:left="440"/>
    </w:pPr>
  </w:style>
  <w:style w:type="character" w:styleId="ac">
    <w:name w:val="Hyperlink"/>
    <w:basedOn w:val="a0"/>
    <w:uiPriority w:val="99"/>
    <w:unhideWhenUsed/>
    <w:rsid w:val="008E72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n.apa.az/cis-countries/nuclear-facility-russia-and-serbia-have-begun-negotiations-on-construction-of-nuclear-power-plant-477976" TargetMode="External"/><Relationship Id="rId18" Type="http://schemas.openxmlformats.org/officeDocument/2006/relationships/hyperlink" Target="https://world-nuclear-news.org/articles/putin-says-new-financing-models-need-to-be-developed-for-nuclear" TargetMode="External"/><Relationship Id="rId26" Type="http://schemas.openxmlformats.org/officeDocument/2006/relationships/hyperlink" Target="https://en.wikipedia.org/wiki/Barakah_nuclear_power_plant" TargetMode="External"/><Relationship Id="rId39" Type="http://schemas.openxmlformats.org/officeDocument/2006/relationships/header" Target="header1.xml"/><Relationship Id="rId21" Type="http://schemas.openxmlformats.org/officeDocument/2006/relationships/hyperlink" Target="https://www-pub.iaea.org/MTCD/Publications/PDF/Pub1477_web.pdf" TargetMode="External"/><Relationship Id="rId34" Type="http://schemas.openxmlformats.org/officeDocument/2006/relationships/hyperlink" Target="https://www.usitc.gov/sites/default/files/publications/332/working_papers/smrs_fo_ma.pdf" TargetMode="External"/><Relationship Id="rId42" Type="http://schemas.openxmlformats.org/officeDocument/2006/relationships/theme" Target="theme/theme1.xml"/><Relationship Id="rId7" Type="http://schemas.openxmlformats.org/officeDocument/2006/relationships/hyperlink" Target="https://www.intellinews.com/serbia-in-talks-with-russia-on-nuclear-power-plant-construction-401696/" TargetMode="External"/><Relationship Id="rId2" Type="http://schemas.openxmlformats.org/officeDocument/2006/relationships/styles" Target="styles.xml"/><Relationship Id="rId16" Type="http://schemas.openxmlformats.org/officeDocument/2006/relationships/hyperlink" Target="https://www.europarl.europa.eu/RegData/etudes/IDAN/2022/639327/EXPO_IDA(2022)639327_EN.pdf" TargetMode="External"/><Relationship Id="rId20" Type="http://schemas.openxmlformats.org/officeDocument/2006/relationships/hyperlink" Target="https://www.oecd-nea.org/upload/docs/application/pdf/2019-12/financing-plants.pdf" TargetMode="External"/><Relationship Id="rId29" Type="http://schemas.openxmlformats.org/officeDocument/2006/relationships/hyperlink" Target="https://www.eia.gov/todayinenergy/detail.php?id=6196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fnec.org/ifnec/upload/docs/application/pdf/2019-01/9.m.vansickle_iaea_services_for_owner-operators_in_emerging_states.pdf" TargetMode="External"/><Relationship Id="rId24" Type="http://schemas.openxmlformats.org/officeDocument/2006/relationships/hyperlink" Target="https://www.iaea.org/newscenter/news/iaea-milestones-guidance-updated-to-include-considerations-for-smrs" TargetMode="External"/><Relationship Id="rId32" Type="http://schemas.openxmlformats.org/officeDocument/2006/relationships/hyperlink" Target="https://world-nuclear.org/information-library/nuclear-fuel-cycle/nuclear-power-reactors/small-nuclear-power-reactors" TargetMode="External"/><Relationship Id="rId37" Type="http://schemas.openxmlformats.org/officeDocument/2006/relationships/hyperlink" Target="https://www.world-nuclear-news.org/Articles/Rolls-Royce-on-track-for-2030-delivery-of-UK-SMR"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ferl.org/a/serbia-nuclear-energy-hungary-china-rosatom-paks/33029040.html" TargetMode="External"/><Relationship Id="rId23" Type="http://schemas.openxmlformats.org/officeDocument/2006/relationships/hyperlink" Target="https://www.ans.org/news/article-6292/iaeas-updated-milestones-for-nuclearcurious-nations-include-a-focus-on-smrs/" TargetMode="External"/><Relationship Id="rId28" Type="http://schemas.openxmlformats.org/officeDocument/2006/relationships/hyperlink" Target="https://www.cato.org/regulation/fall-2025/next-nuclear-renaissance" TargetMode="External"/><Relationship Id="rId36" Type="http://schemas.openxmlformats.org/officeDocument/2006/relationships/hyperlink" Target="https://www.nei.org/CorporateSite/media/filefolder/advanced/SMR-Start-Economic-Analysis-2021-(APPROVED-2021-03-22).pdf" TargetMode="External"/><Relationship Id="rId10" Type="http://schemas.openxmlformats.org/officeDocument/2006/relationships/hyperlink" Target="https://www.ekapija.com/en/news/5293155/serbia-negotiating-with-russia-about-construction-of-nuclear-power-plant" TargetMode="External"/><Relationship Id="rId19" Type="http://schemas.openxmlformats.org/officeDocument/2006/relationships/hyperlink" Target="https://world-nuclear.org/information-library/economic-aspects/financing-nuclear-energy" TargetMode="External"/><Relationship Id="rId31" Type="http://schemas.openxmlformats.org/officeDocument/2006/relationships/hyperlink" Target="https://en.wikipedia.org/wiki/Hualong_One" TargetMode="External"/><Relationship Id="rId4" Type="http://schemas.openxmlformats.org/officeDocument/2006/relationships/webSettings" Target="webSettings.xml"/><Relationship Id="rId9" Type="http://schemas.openxmlformats.org/officeDocument/2006/relationships/hyperlink" Target="https://russiaspivottoasia.com/moscow-belgrade-discuss-building-serbias-first-nuclear-power-plant/" TargetMode="External"/><Relationship Id="rId14" Type="http://schemas.openxmlformats.org/officeDocument/2006/relationships/hyperlink" Target="https://en.wikipedia.org/wiki/APR-1400" TargetMode="External"/><Relationship Id="rId22" Type="http://schemas.openxmlformats.org/officeDocument/2006/relationships/hyperlink" Target="https://www-pub.iaea.org/MTCD/Publications/PDF/Pub1549_web.pdf" TargetMode="External"/><Relationship Id="rId27" Type="http://schemas.openxmlformats.org/officeDocument/2006/relationships/hyperlink" Target="https://www.worldnuclearreport.org/IMG/pdf/_table_24_-_nuclearreactorsunderconstructiondetails.pdf" TargetMode="External"/><Relationship Id="rId30" Type="http://schemas.openxmlformats.org/officeDocument/2006/relationships/hyperlink" Target="https://web.mit.edu/kshirvan/www/research/ANP201%20TR%20CANES.pdf" TargetMode="External"/><Relationship Id="rId35" Type="http://schemas.openxmlformats.org/officeDocument/2006/relationships/hyperlink" Target="https://www.globsec.org/what-we-do/commentaries/faster-cheaper-smarter-promise-and-pitfalls-small-modular-reactors" TargetMode="External"/><Relationship Id="rId8" Type="http://schemas.openxmlformats.org/officeDocument/2006/relationships/hyperlink" Target="https://eualive.net/serbia-in-talks-with-russia-to-build-its-first-nuclear-power-plant/" TargetMode="External"/><Relationship Id="rId3" Type="http://schemas.openxmlformats.org/officeDocument/2006/relationships/settings" Target="settings.xml"/><Relationship Id="rId12" Type="http://schemas.openxmlformats.org/officeDocument/2006/relationships/hyperlink" Target="https://balkangreenenergynews.com/serbia-south-koreas-khnp-to-cooperate-on-nuclear-energy-hydrogen/" TargetMode="External"/><Relationship Id="rId17" Type="http://schemas.openxmlformats.org/officeDocument/2006/relationships/hyperlink" Target="https://caspianpolicy.org/research/energy/beyond-the-contract-what-kazakhstans-rosatom-deal-says-about-its-foreign-policy-balancing-act" TargetMode="External"/><Relationship Id="rId25" Type="http://schemas.openxmlformats.org/officeDocument/2006/relationships/hyperlink" Target="https://inis.iaea.org/collection/NCLCollectionStore/_Public/42/105/42105221.pdf" TargetMode="External"/><Relationship Id="rId33" Type="http://schemas.openxmlformats.org/officeDocument/2006/relationships/hyperlink" Target="https://www.oecd-nea.org/upload/docs/application/pdf/2019-12/7213-smrs.pdf" TargetMode="External"/><Relationship Id="rId38" Type="http://schemas.openxmlformats.org/officeDocument/2006/relationships/hyperlink" Target="https://www.netzero.im/media/j1ijhktq/appendix-20-nuclear-power.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5681</Words>
  <Characters>32388</Characters>
  <Application>Microsoft Office Word</Application>
  <DocSecurity>0</DocSecurity>
  <Lines>269</Lines>
  <Paragraphs>75</Paragraphs>
  <ScaleCrop>false</ScaleCrop>
  <Company/>
  <LinksUpToDate>false</LinksUpToDate>
  <CharactersWithSpaces>37994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2025-09-29T18:13:00Z</dcterms:created>
  <dcterms:modified xsi:type="dcterms:W3CDTF">2025-10-05T15:45:00Z</dcterms:modified>
</cp:coreProperties>
</file>