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5D0BA" w14:textId="0549E1AB" w:rsidR="002A0A7D" w:rsidRPr="003046A5" w:rsidRDefault="00815D3A" w:rsidP="005A5792">
      <w:pPr>
        <w:pBdr>
          <w:top w:val="nil"/>
          <w:left w:val="nil"/>
          <w:bottom w:val="nil"/>
          <w:right w:val="nil"/>
          <w:between w:val="nil"/>
        </w:pBdr>
        <w:spacing w:after="240" w:line="275" w:lineRule="auto"/>
        <w:jc w:val="both"/>
        <w:rPr>
          <w:rFonts w:ascii="Calibri" w:hAnsi="Calibri" w:cs="Calibri"/>
          <w:color w:val="000000" w:themeColor="text1"/>
        </w:rPr>
      </w:pPr>
      <w:r w:rsidRPr="003046A5">
        <w:rPr>
          <w:noProof/>
          <w:color w:val="000000" w:themeColor="text1"/>
        </w:rPr>
        <w:drawing>
          <wp:anchor distT="0" distB="0" distL="114300" distR="114300" simplePos="0" relativeHeight="251659264" behindDoc="0" locked="0" layoutInCell="1" allowOverlap="1" wp14:anchorId="7E63208E" wp14:editId="3BE4D3B5">
            <wp:simplePos x="0" y="0"/>
            <wp:positionH relativeFrom="column">
              <wp:posOffset>0</wp:posOffset>
            </wp:positionH>
            <wp:positionV relativeFrom="paragraph">
              <wp:posOffset>0</wp:posOffset>
            </wp:positionV>
            <wp:extent cx="3019494" cy="592188"/>
            <wp:effectExtent l="0" t="0" r="0" b="508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7"/>
                    <a:srcRect b="6459"/>
                    <a:stretch/>
                  </pic:blipFill>
                  <pic:spPr bwMode="auto">
                    <a:xfrm>
                      <a:off x="0" y="0"/>
                      <a:ext cx="3102724" cy="608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33C3BE" w14:textId="77777777" w:rsidR="00815D3A" w:rsidRPr="003046A5" w:rsidRDefault="00815D3A" w:rsidP="005A5792">
      <w:pPr>
        <w:pStyle w:val="1"/>
        <w:spacing w:before="0" w:after="120" w:line="275" w:lineRule="auto"/>
        <w:jc w:val="both"/>
        <w:rPr>
          <w:rFonts w:ascii="Calibri" w:eastAsia="Google Sans" w:hAnsi="Calibri" w:cs="Calibri"/>
          <w:color w:val="000000" w:themeColor="text1"/>
          <w:lang w:val="ru-RU"/>
        </w:rPr>
      </w:pPr>
    </w:p>
    <w:p w14:paraId="4C47FA51" w14:textId="77777777" w:rsidR="00815D3A" w:rsidRPr="003046A5" w:rsidRDefault="00815D3A" w:rsidP="005A5792">
      <w:pPr>
        <w:pStyle w:val="1"/>
        <w:spacing w:before="0" w:after="120" w:line="275" w:lineRule="auto"/>
        <w:jc w:val="both"/>
        <w:rPr>
          <w:rFonts w:ascii="Calibri" w:eastAsia="Google Sans" w:hAnsi="Calibri" w:cs="Calibri"/>
          <w:color w:val="000000" w:themeColor="text1"/>
          <w:lang w:val="ru-RU"/>
        </w:rPr>
      </w:pPr>
    </w:p>
    <w:p w14:paraId="32054C1C" w14:textId="7FA33F8D" w:rsidR="002A0A7D" w:rsidRPr="003046A5" w:rsidRDefault="00196640" w:rsidP="00815D3A">
      <w:pPr>
        <w:rPr>
          <w:rFonts w:asciiTheme="majorHAnsi" w:hAnsiTheme="majorHAnsi" w:cstheme="majorHAnsi"/>
          <w:color w:val="000000" w:themeColor="text1"/>
          <w:sz w:val="44"/>
          <w:szCs w:val="44"/>
        </w:rPr>
      </w:pPr>
      <w:r w:rsidRPr="003046A5">
        <w:rPr>
          <w:rFonts w:asciiTheme="majorHAnsi" w:hAnsiTheme="majorHAnsi" w:cstheme="majorHAnsi"/>
          <w:color w:val="000000" w:themeColor="text1"/>
          <w:sz w:val="44"/>
          <w:szCs w:val="44"/>
        </w:rPr>
        <w:t>Комплексный Анализ</w:t>
      </w:r>
      <w:r>
        <w:rPr>
          <w:rFonts w:asciiTheme="majorHAnsi" w:hAnsiTheme="majorHAnsi" w:cstheme="majorHAnsi"/>
          <w:color w:val="000000" w:themeColor="text1"/>
          <w:sz w:val="44"/>
          <w:szCs w:val="44"/>
        </w:rPr>
        <w:t>.</w:t>
      </w:r>
      <w:r w:rsidRPr="003046A5">
        <w:rPr>
          <w:rFonts w:asciiTheme="majorHAnsi" w:hAnsiTheme="majorHAnsi" w:cstheme="majorHAnsi"/>
          <w:color w:val="000000" w:themeColor="text1"/>
          <w:sz w:val="44"/>
          <w:szCs w:val="44"/>
        </w:rPr>
        <w:t xml:space="preserve"> Меморандум о Взаимопонимании Сербии по Ядерной Энергетике</w:t>
      </w:r>
      <w:r>
        <w:rPr>
          <w:rFonts w:asciiTheme="majorHAnsi" w:hAnsiTheme="majorHAnsi" w:cstheme="majorHAnsi"/>
          <w:color w:val="000000" w:themeColor="text1"/>
          <w:sz w:val="44"/>
          <w:szCs w:val="44"/>
        </w:rPr>
        <w:t>.</w:t>
      </w:r>
      <w:r w:rsidRPr="003046A5">
        <w:rPr>
          <w:rFonts w:asciiTheme="majorHAnsi" w:hAnsiTheme="majorHAnsi" w:cstheme="majorHAnsi"/>
          <w:color w:val="000000" w:themeColor="text1"/>
          <w:sz w:val="44"/>
          <w:szCs w:val="44"/>
        </w:rPr>
        <w:t xml:space="preserve"> Создания Национального Научно-Технического Потенциала</w:t>
      </w:r>
    </w:p>
    <w:p w14:paraId="10458E2A" w14:textId="77777777" w:rsidR="002A0A7D" w:rsidRPr="003046A5" w:rsidRDefault="002A0A7D" w:rsidP="005A5792">
      <w:pPr>
        <w:pBdr>
          <w:top w:val="nil"/>
          <w:left w:val="nil"/>
          <w:bottom w:val="nil"/>
          <w:right w:val="nil"/>
          <w:between w:val="nil"/>
        </w:pBdr>
        <w:spacing w:after="240" w:line="275" w:lineRule="auto"/>
        <w:jc w:val="both"/>
        <w:rPr>
          <w:rFonts w:ascii="Calibri" w:eastAsia="Google Sans" w:hAnsi="Calibri" w:cs="Calibri"/>
          <w:color w:val="000000" w:themeColor="text1"/>
          <w:lang w:val="ru-RU"/>
        </w:rPr>
      </w:pPr>
    </w:p>
    <w:p w14:paraId="2B3FDF56" w14:textId="0E6F5861" w:rsidR="00815D3A" w:rsidRPr="003046A5" w:rsidRDefault="00815D3A" w:rsidP="005A5792">
      <w:pPr>
        <w:pBdr>
          <w:top w:val="nil"/>
          <w:left w:val="nil"/>
          <w:bottom w:val="nil"/>
          <w:right w:val="nil"/>
          <w:between w:val="nil"/>
        </w:pBdr>
        <w:spacing w:after="240" w:line="275" w:lineRule="auto"/>
        <w:jc w:val="both"/>
        <w:rPr>
          <w:rFonts w:ascii="Calibri" w:eastAsia="Google Sans" w:hAnsi="Calibri" w:cs="Calibri"/>
          <w:b/>
          <w:bCs/>
          <w:color w:val="000000" w:themeColor="text1"/>
          <w:sz w:val="32"/>
          <w:szCs w:val="32"/>
          <w:lang w:val="ru-RU"/>
        </w:rPr>
      </w:pPr>
      <w:r w:rsidRPr="003046A5">
        <w:rPr>
          <w:rFonts w:ascii="Calibri" w:eastAsia="Google Sans" w:hAnsi="Calibri" w:cs="Calibri"/>
          <w:b/>
          <w:bCs/>
          <w:color w:val="000000" w:themeColor="text1"/>
          <w:sz w:val="32"/>
          <w:szCs w:val="32"/>
          <w:lang w:val="ru-RU"/>
        </w:rPr>
        <w:t>Содержание</w:t>
      </w:r>
    </w:p>
    <w:p w14:paraId="1E826231" w14:textId="13A6F0D2" w:rsidR="00102B6D" w:rsidRPr="003046A5" w:rsidRDefault="00815D3A">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r w:rsidRPr="003046A5">
        <w:rPr>
          <w:rFonts w:ascii="Calibri" w:eastAsia="Google Sans" w:hAnsi="Calibri" w:cs="Calibri"/>
          <w:color w:val="000000" w:themeColor="text1"/>
          <w:lang w:val="ru-RU"/>
        </w:rPr>
        <w:fldChar w:fldCharType="begin"/>
      </w:r>
      <w:r w:rsidRPr="003046A5">
        <w:rPr>
          <w:rFonts w:ascii="Calibri" w:eastAsia="Google Sans" w:hAnsi="Calibri" w:cs="Calibri"/>
          <w:color w:val="000000" w:themeColor="text1"/>
          <w:lang w:val="ru-RU"/>
        </w:rPr>
        <w:instrText xml:space="preserve"> TOC \o "1-3" \h \z \u </w:instrText>
      </w:r>
      <w:r w:rsidRPr="003046A5">
        <w:rPr>
          <w:rFonts w:ascii="Calibri" w:eastAsia="Google Sans" w:hAnsi="Calibri" w:cs="Calibri"/>
          <w:color w:val="000000" w:themeColor="text1"/>
          <w:lang w:val="ru-RU"/>
        </w:rPr>
        <w:fldChar w:fldCharType="separate"/>
      </w:r>
      <w:hyperlink w:anchor="_Toc210253836" w:history="1">
        <w:r w:rsidR="00102B6D" w:rsidRPr="003046A5">
          <w:rPr>
            <w:rStyle w:val="ab"/>
            <w:rFonts w:ascii="Calibri" w:eastAsia="Google Sans" w:hAnsi="Calibri" w:cs="Calibri"/>
            <w:noProof/>
            <w:color w:val="000000" w:themeColor="text1"/>
          </w:rPr>
          <w:t>Вводная Часть: Стратегическая Необходимость Возрождения Ядерной Энергетики</w:t>
        </w:r>
        <w:r w:rsidR="00102B6D" w:rsidRPr="003046A5">
          <w:rPr>
            <w:noProof/>
            <w:webHidden/>
            <w:color w:val="000000" w:themeColor="text1"/>
          </w:rPr>
          <w:tab/>
        </w:r>
        <w:r w:rsidR="00102B6D" w:rsidRPr="003046A5">
          <w:rPr>
            <w:noProof/>
            <w:webHidden/>
            <w:color w:val="000000" w:themeColor="text1"/>
          </w:rPr>
          <w:fldChar w:fldCharType="begin"/>
        </w:r>
        <w:r w:rsidR="00102B6D" w:rsidRPr="003046A5">
          <w:rPr>
            <w:noProof/>
            <w:webHidden/>
            <w:color w:val="000000" w:themeColor="text1"/>
          </w:rPr>
          <w:instrText xml:space="preserve"> PAGEREF _Toc210253836 \h </w:instrText>
        </w:r>
        <w:r w:rsidR="00102B6D" w:rsidRPr="003046A5">
          <w:rPr>
            <w:noProof/>
            <w:webHidden/>
            <w:color w:val="000000" w:themeColor="text1"/>
          </w:rPr>
        </w:r>
        <w:r w:rsidR="00102B6D" w:rsidRPr="003046A5">
          <w:rPr>
            <w:noProof/>
            <w:webHidden/>
            <w:color w:val="000000" w:themeColor="text1"/>
          </w:rPr>
          <w:fldChar w:fldCharType="separate"/>
        </w:r>
        <w:r w:rsidR="00196640">
          <w:rPr>
            <w:noProof/>
            <w:webHidden/>
            <w:color w:val="000000" w:themeColor="text1"/>
          </w:rPr>
          <w:t>2</w:t>
        </w:r>
        <w:r w:rsidR="00102B6D" w:rsidRPr="003046A5">
          <w:rPr>
            <w:noProof/>
            <w:webHidden/>
            <w:color w:val="000000" w:themeColor="text1"/>
          </w:rPr>
          <w:fldChar w:fldCharType="end"/>
        </w:r>
      </w:hyperlink>
    </w:p>
    <w:p w14:paraId="0AFDA26F" w14:textId="6E4BAF5E"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37" w:history="1">
        <w:r w:rsidRPr="003046A5">
          <w:rPr>
            <w:rStyle w:val="ab"/>
            <w:rFonts w:ascii="Calibri" w:eastAsia="Google Sans" w:hAnsi="Calibri" w:cs="Calibri"/>
            <w:noProof/>
            <w:color w:val="000000" w:themeColor="text1"/>
          </w:rPr>
          <w:t>1.1. Исторический Запрет и Стратегический Сдвиг</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_Toc210253837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2</w:t>
        </w:r>
        <w:r w:rsidRPr="003046A5">
          <w:rPr>
            <w:noProof/>
            <w:webHidden/>
            <w:color w:val="000000" w:themeColor="text1"/>
          </w:rPr>
          <w:fldChar w:fldCharType="end"/>
        </w:r>
      </w:hyperlink>
    </w:p>
    <w:p w14:paraId="3F4D2B61" w14:textId="33164607"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38" w:history="1">
        <w:r w:rsidRPr="003046A5">
          <w:rPr>
            <w:rStyle w:val="ab"/>
            <w:rFonts w:ascii="Calibri" w:eastAsia="Google Sans" w:hAnsi="Calibri" w:cs="Calibri"/>
            <w:noProof/>
            <w:color w:val="000000" w:themeColor="text1"/>
          </w:rPr>
          <w:t>1.2. Анализ Стратегического Обоснования и Синхронизация Инициатив</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_Toc210253838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2</w:t>
        </w:r>
        <w:r w:rsidRPr="003046A5">
          <w:rPr>
            <w:noProof/>
            <w:webHidden/>
            <w:color w:val="000000" w:themeColor="text1"/>
          </w:rPr>
          <w:fldChar w:fldCharType="end"/>
        </w:r>
      </w:hyperlink>
    </w:p>
    <w:p w14:paraId="0E8604C7" w14:textId="1EF1197B"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39" w:history="1">
        <w:r w:rsidRPr="003046A5">
          <w:rPr>
            <w:rStyle w:val="ab"/>
            <w:rFonts w:ascii="Calibri" w:eastAsia="Google Sans" w:hAnsi="Calibri" w:cs="Calibri"/>
            <w:noProof/>
            <w:color w:val="000000" w:themeColor="text1"/>
          </w:rPr>
          <w:t>Раздел I: Архитектура Меморандума о Взаимопонимании (МоВ)</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_Toc210253839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3</w:t>
        </w:r>
        <w:r w:rsidRPr="003046A5">
          <w:rPr>
            <w:noProof/>
            <w:webHidden/>
            <w:color w:val="000000" w:themeColor="text1"/>
          </w:rPr>
          <w:fldChar w:fldCharType="end"/>
        </w:r>
      </w:hyperlink>
    </w:p>
    <w:p w14:paraId="46720648" w14:textId="5A414259"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0" w:history="1">
        <w:r w:rsidRPr="003046A5">
          <w:rPr>
            <w:rStyle w:val="ab"/>
            <w:rFonts w:ascii="Calibri" w:eastAsia="Google Sans" w:hAnsi="Calibri" w:cs="Calibri"/>
            <w:noProof/>
            <w:color w:val="000000" w:themeColor="text1"/>
          </w:rPr>
          <w:t>2.1. Ключевые Параметры и Основные Цели</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_Toc210253840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3</w:t>
        </w:r>
        <w:r w:rsidRPr="003046A5">
          <w:rPr>
            <w:noProof/>
            <w:webHidden/>
            <w:color w:val="000000" w:themeColor="text1"/>
          </w:rPr>
          <w:fldChar w:fldCharType="end"/>
        </w:r>
      </w:hyperlink>
    </w:p>
    <w:p w14:paraId="1F67D6A5" w14:textId="3D8FD49E"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1" w:history="1">
        <w:r w:rsidRPr="003046A5">
          <w:rPr>
            <w:rStyle w:val="ab"/>
            <w:rFonts w:ascii="Calibri" w:eastAsia="Google Sans" w:hAnsi="Calibri" w:cs="Calibri"/>
            <w:noProof/>
            <w:color w:val="000000" w:themeColor="text1"/>
          </w:rPr>
          <w:t>2.2. Масштаб Институционального Сотрудничества</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_Toc210253841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3</w:t>
        </w:r>
        <w:r w:rsidRPr="003046A5">
          <w:rPr>
            <w:noProof/>
            <w:webHidden/>
            <w:color w:val="000000" w:themeColor="text1"/>
          </w:rPr>
          <w:fldChar w:fldCharType="end"/>
        </w:r>
      </w:hyperlink>
    </w:p>
    <w:p w14:paraId="6DA22D4A" w14:textId="01DDEE6A"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2" w:history="1">
        <w:r w:rsidRPr="003046A5">
          <w:rPr>
            <w:rStyle w:val="ab"/>
            <w:rFonts w:ascii="Calibri" w:eastAsia="Google Sans" w:hAnsi="Calibri" w:cs="Calibri"/>
            <w:noProof/>
            <w:color w:val="000000" w:themeColor="text1"/>
          </w:rPr>
          <w:t>2.3. Анализ Многосекторального Подхода</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_Toc210253842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4</w:t>
        </w:r>
        <w:r w:rsidRPr="003046A5">
          <w:rPr>
            <w:noProof/>
            <w:webHidden/>
            <w:color w:val="000000" w:themeColor="text1"/>
          </w:rPr>
          <w:fldChar w:fldCharType="end"/>
        </w:r>
      </w:hyperlink>
    </w:p>
    <w:p w14:paraId="01B05650" w14:textId="2CE74FC9"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3" w:history="1">
        <w:r w:rsidRPr="003046A5">
          <w:rPr>
            <w:rStyle w:val="ab"/>
            <w:rFonts w:ascii="Calibri" w:eastAsia="Google Sans" w:hAnsi="Calibri" w:cs="Calibri"/>
            <w:noProof/>
            <w:color w:val="000000" w:themeColor="text1"/>
          </w:rPr>
          <w:t>Раздел II: Создание Национального Научно-Технического Потенциала (НТП)</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_Toc210253843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5</w:t>
        </w:r>
        <w:r w:rsidRPr="003046A5">
          <w:rPr>
            <w:noProof/>
            <w:webHidden/>
            <w:color w:val="000000" w:themeColor="text1"/>
          </w:rPr>
          <w:fldChar w:fldCharType="end"/>
        </w:r>
      </w:hyperlink>
    </w:p>
    <w:p w14:paraId="64EBFA3A" w14:textId="69E96F81"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4" w:history="1">
        <w:r w:rsidRPr="003046A5">
          <w:rPr>
            <w:rStyle w:val="ab"/>
            <w:rFonts w:ascii="Calibri" w:eastAsia="Google Sans" w:hAnsi="Calibri" w:cs="Calibri"/>
            <w:noProof/>
            <w:color w:val="000000" w:themeColor="text1"/>
          </w:rPr>
          <w:t>3.1. Стратегический Императив Инвестиций в Кадры</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_Toc210253844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5</w:t>
        </w:r>
        <w:r w:rsidRPr="003046A5">
          <w:rPr>
            <w:noProof/>
            <w:webHidden/>
            <w:color w:val="000000" w:themeColor="text1"/>
          </w:rPr>
          <w:fldChar w:fldCharType="end"/>
        </w:r>
      </w:hyperlink>
    </w:p>
    <w:p w14:paraId="4BEB61A2" w14:textId="00FF0899"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5" w:history="1">
        <w:r w:rsidRPr="003046A5">
          <w:rPr>
            <w:rStyle w:val="ab"/>
            <w:rFonts w:ascii="Calibri" w:eastAsia="Google Sans" w:hAnsi="Calibri" w:cs="Calibri"/>
            <w:noProof/>
            <w:color w:val="000000" w:themeColor="text1"/>
          </w:rPr>
          <w:t>3.2. Роль Академии в Возрождении Ядерного Цикла</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_Toc210253845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6</w:t>
        </w:r>
        <w:r w:rsidRPr="003046A5">
          <w:rPr>
            <w:noProof/>
            <w:webHidden/>
            <w:color w:val="000000" w:themeColor="text1"/>
          </w:rPr>
          <w:fldChar w:fldCharType="end"/>
        </w:r>
      </w:hyperlink>
    </w:p>
    <w:p w14:paraId="200D572D" w14:textId="775B629D"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6" w:history="1">
        <w:r w:rsidRPr="003046A5">
          <w:rPr>
            <w:rStyle w:val="ab"/>
            <w:rFonts w:ascii="Calibri" w:eastAsia="Google Sans" w:hAnsi="Calibri" w:cs="Calibri"/>
            <w:noProof/>
            <w:color w:val="000000" w:themeColor="text1"/>
          </w:rPr>
          <w:t>3.3. Интернационализация НТП</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_Toc210253846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6</w:t>
        </w:r>
        <w:r w:rsidRPr="003046A5">
          <w:rPr>
            <w:noProof/>
            <w:webHidden/>
            <w:color w:val="000000" w:themeColor="text1"/>
          </w:rPr>
          <w:fldChar w:fldCharType="end"/>
        </w:r>
      </w:hyperlink>
    </w:p>
    <w:p w14:paraId="3AD60C3A" w14:textId="09EC69FD"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7" w:history="1">
        <w:r w:rsidRPr="003046A5">
          <w:rPr>
            <w:rStyle w:val="ab"/>
            <w:rFonts w:ascii="Calibri" w:eastAsia="Google Sans" w:hAnsi="Calibri" w:cs="Calibri"/>
            <w:noProof/>
            <w:color w:val="000000" w:themeColor="text1"/>
          </w:rPr>
          <w:t>Раздел III: Институциональные и Регуляторные Рамки для Реализации Программы</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_Toc210253847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7</w:t>
        </w:r>
        <w:r w:rsidRPr="003046A5">
          <w:rPr>
            <w:noProof/>
            <w:webHidden/>
            <w:color w:val="000000" w:themeColor="text1"/>
          </w:rPr>
          <w:fldChar w:fldCharType="end"/>
        </w:r>
      </w:hyperlink>
    </w:p>
    <w:p w14:paraId="409FCD5C" w14:textId="3624C81B"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8" w:history="1">
        <w:r w:rsidRPr="003046A5">
          <w:rPr>
            <w:rStyle w:val="ab"/>
            <w:rFonts w:ascii="Calibri" w:eastAsia="Google Sans" w:hAnsi="Calibri" w:cs="Calibri"/>
            <w:noProof/>
            <w:color w:val="000000" w:themeColor="text1"/>
          </w:rPr>
          <w:t>4.1. Создание Специализированного Координационного Органа (СКО)</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_Toc210253848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7</w:t>
        </w:r>
        <w:r w:rsidRPr="003046A5">
          <w:rPr>
            <w:noProof/>
            <w:webHidden/>
            <w:color w:val="000000" w:themeColor="text1"/>
          </w:rPr>
          <w:fldChar w:fldCharType="end"/>
        </w:r>
      </w:hyperlink>
    </w:p>
    <w:p w14:paraId="4D96166A" w14:textId="45842213"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49" w:history="1">
        <w:r w:rsidRPr="003046A5">
          <w:rPr>
            <w:rStyle w:val="ab"/>
            <w:rFonts w:ascii="Calibri" w:eastAsia="Google Sans" w:hAnsi="Calibri" w:cs="Calibri"/>
            <w:noProof/>
            <w:color w:val="000000" w:themeColor="text1"/>
          </w:rPr>
          <w:t>4.2. Роль Предварительного Технического Исследования (ПТИ)</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_Toc210253849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7</w:t>
        </w:r>
        <w:r w:rsidRPr="003046A5">
          <w:rPr>
            <w:noProof/>
            <w:webHidden/>
            <w:color w:val="000000" w:themeColor="text1"/>
          </w:rPr>
          <w:fldChar w:fldCharType="end"/>
        </w:r>
      </w:hyperlink>
    </w:p>
    <w:p w14:paraId="11E6D21A" w14:textId="09C2540D"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0" w:history="1">
        <w:r w:rsidRPr="003046A5">
          <w:rPr>
            <w:rStyle w:val="ab"/>
            <w:rFonts w:ascii="Calibri" w:eastAsia="Google Sans" w:hAnsi="Calibri" w:cs="Calibri"/>
            <w:noProof/>
            <w:color w:val="000000" w:themeColor="text1"/>
          </w:rPr>
          <w:t>4.3. Институциональная Структура как Фокус Власти</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_Toc210253850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8</w:t>
        </w:r>
        <w:r w:rsidRPr="003046A5">
          <w:rPr>
            <w:noProof/>
            <w:webHidden/>
            <w:color w:val="000000" w:themeColor="text1"/>
          </w:rPr>
          <w:fldChar w:fldCharType="end"/>
        </w:r>
      </w:hyperlink>
    </w:p>
    <w:p w14:paraId="5F16F102" w14:textId="6FC0BFD0"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1" w:history="1">
        <w:r w:rsidRPr="003046A5">
          <w:rPr>
            <w:rStyle w:val="ab"/>
            <w:rFonts w:ascii="Calibri" w:eastAsia="Google Sans" w:hAnsi="Calibri" w:cs="Calibri"/>
            <w:noProof/>
            <w:color w:val="000000" w:themeColor="text1"/>
          </w:rPr>
          <w:t>Раздел IV: Вызовы, Рекомендации и Долгосрочные Перспективы</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_Toc210253851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9</w:t>
        </w:r>
        <w:r w:rsidRPr="003046A5">
          <w:rPr>
            <w:noProof/>
            <w:webHidden/>
            <w:color w:val="000000" w:themeColor="text1"/>
          </w:rPr>
          <w:fldChar w:fldCharType="end"/>
        </w:r>
      </w:hyperlink>
    </w:p>
    <w:p w14:paraId="0E28B119" w14:textId="0C3CFA6D"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2" w:history="1">
        <w:r w:rsidRPr="003046A5">
          <w:rPr>
            <w:rStyle w:val="ab"/>
            <w:rFonts w:ascii="Calibri" w:eastAsia="Google Sans" w:hAnsi="Calibri" w:cs="Calibri"/>
            <w:noProof/>
            <w:color w:val="000000" w:themeColor="text1"/>
          </w:rPr>
          <w:t>5.1. Основные Вызовы Реализации Программы</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_Toc210253852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9</w:t>
        </w:r>
        <w:r w:rsidRPr="003046A5">
          <w:rPr>
            <w:noProof/>
            <w:webHidden/>
            <w:color w:val="000000" w:themeColor="text1"/>
          </w:rPr>
          <w:fldChar w:fldCharType="end"/>
        </w:r>
      </w:hyperlink>
    </w:p>
    <w:p w14:paraId="4A1EB79D" w14:textId="799FCEDC" w:rsidR="00102B6D" w:rsidRPr="003046A5" w:rsidRDefault="00102B6D">
      <w:pPr>
        <w:pStyle w:val="3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3" w:history="1">
        <w:r w:rsidRPr="003046A5">
          <w:rPr>
            <w:rStyle w:val="ab"/>
            <w:rFonts w:ascii="Calibri" w:eastAsia="Google Sans" w:hAnsi="Calibri" w:cs="Calibri"/>
            <w:noProof/>
            <w:color w:val="000000" w:themeColor="text1"/>
          </w:rPr>
          <w:t>5.2. Комплексные Рекомендации по Укреплению НТП</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_Toc210253853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10</w:t>
        </w:r>
        <w:r w:rsidRPr="003046A5">
          <w:rPr>
            <w:noProof/>
            <w:webHidden/>
            <w:color w:val="000000" w:themeColor="text1"/>
          </w:rPr>
          <w:fldChar w:fldCharType="end"/>
        </w:r>
      </w:hyperlink>
    </w:p>
    <w:p w14:paraId="1776F055" w14:textId="12BEA949"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4" w:history="1">
        <w:r w:rsidRPr="003046A5">
          <w:rPr>
            <w:rStyle w:val="ab"/>
            <w:rFonts w:ascii="Calibri" w:eastAsia="Google Sans" w:hAnsi="Calibri" w:cs="Calibri"/>
            <w:noProof/>
            <w:color w:val="000000" w:themeColor="text1"/>
          </w:rPr>
          <w:t>Заключение</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_Toc210253854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10</w:t>
        </w:r>
        <w:r w:rsidRPr="003046A5">
          <w:rPr>
            <w:noProof/>
            <w:webHidden/>
            <w:color w:val="000000" w:themeColor="text1"/>
          </w:rPr>
          <w:fldChar w:fldCharType="end"/>
        </w:r>
      </w:hyperlink>
    </w:p>
    <w:p w14:paraId="48EEAEBE" w14:textId="758F9E2A" w:rsidR="00102B6D" w:rsidRPr="003046A5" w:rsidRDefault="00102B6D">
      <w:pPr>
        <w:pStyle w:val="20"/>
        <w:tabs>
          <w:tab w:val="right" w:leader="dot" w:pos="9350"/>
        </w:tabs>
        <w:rPr>
          <w:rFonts w:asciiTheme="minorHAnsi" w:eastAsiaTheme="minorEastAsia" w:hAnsiTheme="minorHAnsi" w:cstheme="minorBidi"/>
          <w:noProof/>
          <w:color w:val="000000" w:themeColor="text1"/>
          <w:kern w:val="2"/>
          <w:sz w:val="24"/>
          <w:szCs w:val="24"/>
          <w14:ligatures w14:val="standardContextual"/>
        </w:rPr>
      </w:pPr>
      <w:hyperlink w:anchor="_Toc210253855" w:history="1">
        <w:r w:rsidRPr="003046A5">
          <w:rPr>
            <w:rStyle w:val="ab"/>
            <w:noProof/>
            <w:color w:val="000000" w:themeColor="text1"/>
          </w:rPr>
          <w:t>Источники</w:t>
        </w:r>
        <w:r w:rsidRPr="003046A5">
          <w:rPr>
            <w:noProof/>
            <w:webHidden/>
            <w:color w:val="000000" w:themeColor="text1"/>
          </w:rPr>
          <w:tab/>
        </w:r>
        <w:r w:rsidRPr="003046A5">
          <w:rPr>
            <w:noProof/>
            <w:webHidden/>
            <w:color w:val="000000" w:themeColor="text1"/>
          </w:rPr>
          <w:fldChar w:fldCharType="begin"/>
        </w:r>
        <w:r w:rsidRPr="003046A5">
          <w:rPr>
            <w:noProof/>
            <w:webHidden/>
            <w:color w:val="000000" w:themeColor="text1"/>
          </w:rPr>
          <w:instrText xml:space="preserve"> PAGEREF _Toc210253855 \h </w:instrText>
        </w:r>
        <w:r w:rsidRPr="003046A5">
          <w:rPr>
            <w:noProof/>
            <w:webHidden/>
            <w:color w:val="000000" w:themeColor="text1"/>
          </w:rPr>
        </w:r>
        <w:r w:rsidRPr="003046A5">
          <w:rPr>
            <w:noProof/>
            <w:webHidden/>
            <w:color w:val="000000" w:themeColor="text1"/>
          </w:rPr>
          <w:fldChar w:fldCharType="separate"/>
        </w:r>
        <w:r w:rsidR="00196640">
          <w:rPr>
            <w:noProof/>
            <w:webHidden/>
            <w:color w:val="000000" w:themeColor="text1"/>
          </w:rPr>
          <w:t>11</w:t>
        </w:r>
        <w:r w:rsidRPr="003046A5">
          <w:rPr>
            <w:noProof/>
            <w:webHidden/>
            <w:color w:val="000000" w:themeColor="text1"/>
          </w:rPr>
          <w:fldChar w:fldCharType="end"/>
        </w:r>
      </w:hyperlink>
    </w:p>
    <w:p w14:paraId="35FF3EB0" w14:textId="07B27BE7" w:rsidR="00815D3A" w:rsidRPr="003046A5" w:rsidRDefault="00815D3A" w:rsidP="005A5792">
      <w:pPr>
        <w:pBdr>
          <w:top w:val="nil"/>
          <w:left w:val="nil"/>
          <w:bottom w:val="nil"/>
          <w:right w:val="nil"/>
          <w:between w:val="nil"/>
        </w:pBdr>
        <w:spacing w:after="240" w:line="275" w:lineRule="auto"/>
        <w:jc w:val="both"/>
        <w:rPr>
          <w:rFonts w:ascii="Calibri" w:eastAsia="Google Sans" w:hAnsi="Calibri" w:cs="Calibri"/>
          <w:color w:val="000000" w:themeColor="text1"/>
          <w:lang w:val="ru-RU"/>
        </w:rPr>
      </w:pPr>
      <w:r w:rsidRPr="003046A5">
        <w:rPr>
          <w:rFonts w:ascii="Calibri" w:eastAsia="Google Sans" w:hAnsi="Calibri" w:cs="Calibri"/>
          <w:color w:val="000000" w:themeColor="text1"/>
          <w:lang w:val="ru-RU"/>
        </w:rPr>
        <w:lastRenderedPageBreak/>
        <w:fldChar w:fldCharType="end"/>
      </w:r>
    </w:p>
    <w:p w14:paraId="576B9961" w14:textId="77777777" w:rsidR="002A0A7D" w:rsidRPr="003046A5" w:rsidRDefault="002A0A7D" w:rsidP="005A5792">
      <w:pPr>
        <w:pBdr>
          <w:top w:val="nil"/>
          <w:left w:val="nil"/>
          <w:bottom w:val="nil"/>
          <w:right w:val="nil"/>
          <w:between w:val="nil"/>
        </w:pBdr>
        <w:spacing w:after="240" w:line="275" w:lineRule="auto"/>
        <w:jc w:val="both"/>
        <w:rPr>
          <w:rFonts w:ascii="Calibri" w:eastAsia="Google Sans" w:hAnsi="Calibri" w:cs="Calibri"/>
          <w:color w:val="000000" w:themeColor="text1"/>
        </w:rPr>
      </w:pPr>
    </w:p>
    <w:p w14:paraId="55E7F9F3"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0" w:name="_Toc210253836"/>
      <w:r w:rsidRPr="003046A5">
        <w:rPr>
          <w:rFonts w:ascii="Calibri" w:eastAsia="Google Sans" w:hAnsi="Calibri" w:cs="Calibri"/>
          <w:color w:val="000000" w:themeColor="text1"/>
        </w:rPr>
        <w:t>Вводная Часть: Стратегическая Необходимость Возрождения Ядерной Энергетики</w:t>
      </w:r>
      <w:bookmarkEnd w:id="0"/>
    </w:p>
    <w:p w14:paraId="7874890F"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 w:name="_Toc210253837"/>
      <w:r w:rsidRPr="003046A5">
        <w:rPr>
          <w:rFonts w:ascii="Calibri" w:eastAsia="Google Sans" w:hAnsi="Calibri" w:cs="Calibri"/>
          <w:color w:val="000000" w:themeColor="text1"/>
        </w:rPr>
        <w:t>1.1. Исторический Запрет и Стратегический Сдвиг</w:t>
      </w:r>
      <w:bookmarkEnd w:id="1"/>
    </w:p>
    <w:p w14:paraId="02DFD82F"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Развитие программы мирного использования ядерной энергии в Республике Сербия ознаменовано значительным институциональным сдвигом, направленным на исправление долгосрочных политических решений, принятых в прошлом. В 1989 году, спустя три года после катастрофы на Чернобыльской АЭС, в бывшей Социалистической Федеративной Республике Югославии был принят закон, наложивший мораторий на строительство новых атомных электростанций, фактически приостановив развитие национальной ядерной энергетики на 35 лет.</w:t>
      </w:r>
      <w:r w:rsidRPr="003046A5">
        <w:rPr>
          <w:rFonts w:ascii="Calibri" w:eastAsia="Google Sans Text" w:hAnsi="Calibri" w:cs="Calibri"/>
          <w:color w:val="000000" w:themeColor="text1"/>
          <w:sz w:val="24"/>
          <w:szCs w:val="24"/>
          <w:vertAlign w:val="superscript"/>
        </w:rPr>
        <w:t>1</w:t>
      </w:r>
    </w:p>
    <w:p w14:paraId="6075460F"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Пересмотр этой политики начался на фоне растущей обеспокоенности энергетической безопасностью и необходимостью декарбонизации. Вопрос о ядерной энергетике вышел на первый план после первого Саммита по ядерной энергии в Брюсселе в марте 2024 года, где глобальная стратегия по сокращению парниковых газов определила ядерную энергию как ключевой компонент.</w:t>
      </w:r>
      <w:r w:rsidRPr="003046A5">
        <w:rPr>
          <w:rFonts w:ascii="Calibri" w:eastAsia="Google Sans Text" w:hAnsi="Calibri" w:cs="Calibri"/>
          <w:color w:val="000000" w:themeColor="text1"/>
          <w:sz w:val="24"/>
          <w:szCs w:val="24"/>
          <w:vertAlign w:val="superscript"/>
        </w:rPr>
        <w:t>1</w:t>
      </w:r>
      <w:r w:rsidRPr="003046A5">
        <w:rPr>
          <w:rFonts w:ascii="Calibri" w:eastAsia="Google Sans Text" w:hAnsi="Calibri" w:cs="Calibri"/>
          <w:color w:val="000000" w:themeColor="text1"/>
        </w:rPr>
        <w:t xml:space="preserve"> В ответ на этот вызов и на внутренние потребности, Национальная Скупщина Сербии проголосовала за поправки к энергетическому законодательству, полностью отменившему 35-летний запрет на строительство АЭС.</w:t>
      </w:r>
      <w:r w:rsidRPr="003046A5">
        <w:rPr>
          <w:rFonts w:ascii="Calibri" w:eastAsia="Google Sans Text" w:hAnsi="Calibri" w:cs="Calibri"/>
          <w:color w:val="000000" w:themeColor="text1"/>
          <w:sz w:val="24"/>
          <w:szCs w:val="24"/>
          <w:vertAlign w:val="superscript"/>
        </w:rPr>
        <w:t>1</w:t>
      </w:r>
    </w:p>
    <w:p w14:paraId="0E0D9621"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Высшее политическое руководство страны подчеркнуло стратегическое значение этого шага. Премьер-министр Сербии Милош Вучевич публично заявил, что возобновление программы «исправляет ошибку», совершенную в 1980-х годах.</w:t>
      </w:r>
      <w:r w:rsidRPr="003046A5">
        <w:rPr>
          <w:rFonts w:ascii="Calibri" w:eastAsia="Google Sans Text" w:hAnsi="Calibri" w:cs="Calibri"/>
          <w:color w:val="000000" w:themeColor="text1"/>
          <w:sz w:val="24"/>
          <w:szCs w:val="24"/>
          <w:vertAlign w:val="superscript"/>
        </w:rPr>
        <w:t>1</w:t>
      </w:r>
      <w:r w:rsidRPr="003046A5">
        <w:rPr>
          <w:rFonts w:ascii="Calibri" w:eastAsia="Google Sans Text" w:hAnsi="Calibri" w:cs="Calibri"/>
          <w:color w:val="000000" w:themeColor="text1"/>
        </w:rPr>
        <w:t xml:space="preserve"> Это решение рассматривается не просто как энергетический, но и как фундаментальный вопрос суверенитета и независимости государства, поскольку инвестиции в этот сектор являются решающими.</w:t>
      </w:r>
      <w:r w:rsidRPr="003046A5">
        <w:rPr>
          <w:rFonts w:ascii="Calibri" w:eastAsia="Google Sans Text" w:hAnsi="Calibri" w:cs="Calibri"/>
          <w:color w:val="000000" w:themeColor="text1"/>
          <w:sz w:val="24"/>
          <w:szCs w:val="24"/>
          <w:vertAlign w:val="superscript"/>
        </w:rPr>
        <w:t>3</w:t>
      </w:r>
      <w:r w:rsidRPr="003046A5">
        <w:rPr>
          <w:rFonts w:ascii="Calibri" w:eastAsia="Google Sans Text" w:hAnsi="Calibri" w:cs="Calibri"/>
          <w:color w:val="000000" w:themeColor="text1"/>
        </w:rPr>
        <w:t xml:space="preserve"> Кроме того, Министр охраны окружающей среды Сандра Докич отметила, что ядерная энергетика, уже составляющая 26% производства электроэнергии в Европейском Союзе, играет ключевую роль в достижении климатической нейтральности к 2050 году.</w:t>
      </w:r>
      <w:r w:rsidRPr="003046A5">
        <w:rPr>
          <w:rFonts w:ascii="Calibri" w:eastAsia="Google Sans Text" w:hAnsi="Calibri" w:cs="Calibri"/>
          <w:color w:val="000000" w:themeColor="text1"/>
          <w:sz w:val="24"/>
          <w:szCs w:val="24"/>
          <w:vertAlign w:val="superscript"/>
        </w:rPr>
        <w:t>4</w:t>
      </w:r>
    </w:p>
    <w:p w14:paraId="0B73C6A1"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2" w:name="_Toc210253838"/>
      <w:r w:rsidRPr="003046A5">
        <w:rPr>
          <w:rFonts w:ascii="Calibri" w:eastAsia="Google Sans" w:hAnsi="Calibri" w:cs="Calibri"/>
          <w:color w:val="000000" w:themeColor="text1"/>
        </w:rPr>
        <w:t>1.2. Анализ Стратегического Обоснования и Синхронизация Инициатив</w:t>
      </w:r>
      <w:bookmarkEnd w:id="2"/>
    </w:p>
    <w:p w14:paraId="1DF9496D"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Стратегическое обоснование программы закреплено в Интегрированном Национальном Плане по Энергетике и Климату (NECP) до 2030 года, с долгосрочными проекциями до 2050 года. В одном из рассматриваемых сценариев предусматривается, что ядерная энергия станет основным источником в национальном энергетическом балансе после 2040 года.</w:t>
      </w:r>
      <w:r w:rsidRPr="003046A5">
        <w:rPr>
          <w:rFonts w:ascii="Calibri" w:eastAsia="Google Sans Text" w:hAnsi="Calibri" w:cs="Calibri"/>
          <w:color w:val="000000" w:themeColor="text1"/>
          <w:sz w:val="24"/>
          <w:szCs w:val="24"/>
          <w:vertAlign w:val="superscript"/>
        </w:rPr>
        <w:t>4</w:t>
      </w:r>
    </w:p>
    <w:p w14:paraId="7F829244"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 xml:space="preserve">Важным элементом является хронологическая синхронизация действий. Меморандум о взаимопонимании (МоВ) был подписан в июле 2024 года, вскоре после политического снятия </w:t>
      </w:r>
      <w:r w:rsidRPr="003046A5">
        <w:rPr>
          <w:rFonts w:ascii="Calibri" w:eastAsia="Google Sans Text" w:hAnsi="Calibri" w:cs="Calibri"/>
          <w:color w:val="000000" w:themeColor="text1"/>
        </w:rPr>
        <w:lastRenderedPageBreak/>
        <w:t>моратория, что указывает на высокую степень координации между исполнительной и законодательной властью.</w:t>
      </w:r>
      <w:r w:rsidRPr="003046A5">
        <w:rPr>
          <w:rFonts w:ascii="Calibri" w:eastAsia="Google Sans Text" w:hAnsi="Calibri" w:cs="Calibri"/>
          <w:color w:val="000000" w:themeColor="text1"/>
          <w:sz w:val="24"/>
          <w:szCs w:val="24"/>
          <w:vertAlign w:val="superscript"/>
        </w:rPr>
        <w:t>1</w:t>
      </w:r>
      <w:r w:rsidRPr="003046A5">
        <w:rPr>
          <w:rFonts w:ascii="Calibri" w:eastAsia="Google Sans Text" w:hAnsi="Calibri" w:cs="Calibri"/>
          <w:color w:val="000000" w:themeColor="text1"/>
        </w:rPr>
        <w:t xml:space="preserve"> Такой порядок действий придает программе институциональную устойчивость, поскольку основные юридические препятствия были устранены до начала широкого межведомственного сотрудничества.</w:t>
      </w:r>
    </w:p>
    <w:p w14:paraId="4F323955"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 xml:space="preserve">Более глубокий анализ показывает, что переход к ядерной энергетике, особенно с заявленными целями по получению 1200 МВт мощности от малых модульных реакторов (SMR) </w:t>
      </w:r>
      <w:r w:rsidRPr="003046A5">
        <w:rPr>
          <w:rFonts w:ascii="Calibri" w:eastAsia="Google Sans Text" w:hAnsi="Calibri" w:cs="Calibri"/>
          <w:color w:val="000000" w:themeColor="text1"/>
          <w:sz w:val="24"/>
          <w:szCs w:val="24"/>
          <w:vertAlign w:val="superscript"/>
        </w:rPr>
        <w:t>1</w:t>
      </w:r>
      <w:r w:rsidRPr="003046A5">
        <w:rPr>
          <w:rFonts w:ascii="Calibri" w:eastAsia="Google Sans Text" w:hAnsi="Calibri" w:cs="Calibri"/>
          <w:color w:val="000000" w:themeColor="text1"/>
        </w:rPr>
        <w:t>, является геополитическим решением. В условиях зависимости от ископаемого топлива и сложной региональной политической обстановки, SMR предлагают более гибкий и быстрый путь к энергетической независимости по сравнению с крупными традиционными АЭС. При этом, заявка на SMR требует ускоренного и масштабного развития внутреннего научно-технического потенциала (НТП) для обеспечения безопасной эксплуатации, лицензирования и регулирования этих передовых технологий. Это стратегическое требование лежит в основе беспрецедентного масштаба институционального альянса, закрепленного в МоВ.</w:t>
      </w:r>
    </w:p>
    <w:p w14:paraId="09136554"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3" w:name="_Toc210253839"/>
      <w:r w:rsidRPr="003046A5">
        <w:rPr>
          <w:rFonts w:ascii="Calibri" w:eastAsia="Google Sans" w:hAnsi="Calibri" w:cs="Calibri"/>
          <w:color w:val="000000" w:themeColor="text1"/>
        </w:rPr>
        <w:t>Раздел I: Архитектура Меморандума о Взаимопонимании (МоВ)</w:t>
      </w:r>
      <w:bookmarkEnd w:id="3"/>
    </w:p>
    <w:p w14:paraId="136B60C1"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4" w:name="_Toc210253840"/>
      <w:r w:rsidRPr="003046A5">
        <w:rPr>
          <w:rFonts w:ascii="Calibri" w:eastAsia="Google Sans" w:hAnsi="Calibri" w:cs="Calibri"/>
          <w:color w:val="000000" w:themeColor="text1"/>
        </w:rPr>
        <w:t>2.1. Ключевые Параметры и Основные Цели</w:t>
      </w:r>
      <w:bookmarkEnd w:id="4"/>
    </w:p>
    <w:p w14:paraId="4CF36B0D"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Меморандум о взаимопонимании по развитию ядерной энергии в Сербии был подписан в июле 2024 года, положив начало структурированному процессу возвращения страны к атомной энергетике.</w:t>
      </w:r>
      <w:r w:rsidRPr="003046A5">
        <w:rPr>
          <w:rFonts w:ascii="Calibri" w:eastAsia="Google Sans Text" w:hAnsi="Calibri" w:cs="Calibri"/>
          <w:color w:val="000000" w:themeColor="text1"/>
          <w:sz w:val="24"/>
          <w:szCs w:val="24"/>
          <w:vertAlign w:val="superscript"/>
        </w:rPr>
        <w:t>6</w:t>
      </w:r>
      <w:r w:rsidRPr="003046A5">
        <w:rPr>
          <w:rFonts w:ascii="Calibri" w:eastAsia="Google Sans Text" w:hAnsi="Calibri" w:cs="Calibri"/>
          <w:color w:val="000000" w:themeColor="text1"/>
        </w:rPr>
        <w:t xml:space="preserve"> Подписание произошло в рамках публичного панельного обсуждения под названием «Ядерная энергия от прошлого к будущему», что, по заявлению Министерства горного дела и энергетики (МГиЭ), ознаменовало начало общенациональной публичной дискуссии по этому вопросу.</w:t>
      </w:r>
      <w:r w:rsidRPr="003046A5">
        <w:rPr>
          <w:rFonts w:ascii="Calibri" w:eastAsia="Google Sans Text" w:hAnsi="Calibri" w:cs="Calibri"/>
          <w:color w:val="000000" w:themeColor="text1"/>
          <w:sz w:val="24"/>
          <w:szCs w:val="24"/>
          <w:vertAlign w:val="superscript"/>
        </w:rPr>
        <w:t>3</w:t>
      </w:r>
    </w:p>
    <w:p w14:paraId="315EB694"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Основная цель МоВ заключается в консолидации отечественных и международных экспертов для изучения возможностей и создания программы мирного использования ядерной энергии в стране.</w:t>
      </w:r>
      <w:r w:rsidRPr="003046A5">
        <w:rPr>
          <w:rFonts w:ascii="Calibri" w:eastAsia="Google Sans Text" w:hAnsi="Calibri" w:cs="Calibri"/>
          <w:color w:val="000000" w:themeColor="text1"/>
          <w:sz w:val="24"/>
          <w:szCs w:val="24"/>
          <w:vertAlign w:val="superscript"/>
        </w:rPr>
        <w:t>3</w:t>
      </w:r>
      <w:r w:rsidRPr="003046A5">
        <w:rPr>
          <w:rFonts w:ascii="Calibri" w:eastAsia="Google Sans Text" w:hAnsi="Calibri" w:cs="Calibri"/>
          <w:color w:val="000000" w:themeColor="text1"/>
        </w:rPr>
        <w:t xml:space="preserve"> Это признает, что для такого сложного национального проекта необходима всесторонняя, мультидисциплинарная экспертиза.</w:t>
      </w:r>
    </w:p>
    <w:p w14:paraId="20B15EDE"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5" w:name="_Toc210253841"/>
      <w:r w:rsidRPr="003046A5">
        <w:rPr>
          <w:rFonts w:ascii="Calibri" w:eastAsia="Google Sans" w:hAnsi="Calibri" w:cs="Calibri"/>
          <w:color w:val="000000" w:themeColor="text1"/>
        </w:rPr>
        <w:t>2.2. Масштаб Институционального Сотрудничества</w:t>
      </w:r>
      <w:bookmarkEnd w:id="5"/>
    </w:p>
    <w:p w14:paraId="0E00FA82" w14:textId="77777777" w:rsidR="002A0A7D"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lang w:val="ru-RU"/>
        </w:rPr>
      </w:pPr>
      <w:r w:rsidRPr="003046A5">
        <w:rPr>
          <w:rFonts w:ascii="Calibri" w:eastAsia="Google Sans Text" w:hAnsi="Calibri" w:cs="Calibri"/>
          <w:color w:val="000000" w:themeColor="text1"/>
        </w:rPr>
        <w:t>Отличительной чертой данного МоВ является его беспрецедентный охват, отражающий понимание правительством сложности ядерной инфраструктуры. Соглашение объединило исполнительную власть, академическое сообщество, научные институты и промышленный сектор.</w:t>
      </w:r>
    </w:p>
    <w:p w14:paraId="17692D0D" w14:textId="77777777" w:rsidR="00DD4EE1" w:rsidRPr="00DD4EE1" w:rsidRDefault="00DD4EE1" w:rsidP="00DD4EE1">
      <w:pPr>
        <w:pBdr>
          <w:top w:val="nil"/>
          <w:left w:val="nil"/>
          <w:bottom w:val="nil"/>
          <w:right w:val="nil"/>
          <w:between w:val="nil"/>
        </w:pBdr>
        <w:spacing w:after="240" w:line="275" w:lineRule="auto"/>
        <w:jc w:val="both"/>
        <w:rPr>
          <w:rFonts w:ascii="Calibri" w:eastAsia="Google Sans Text" w:hAnsi="Calibri" w:cs="Calibri"/>
          <w:color w:val="000000" w:themeColor="text1"/>
          <w:lang w:val="ru-RU"/>
        </w:rPr>
      </w:pPr>
      <w:r w:rsidRPr="00DD4EE1">
        <w:rPr>
          <w:rFonts w:ascii="Calibri" w:eastAsia="Google Sans Text" w:hAnsi="Calibri" w:cs="Calibri"/>
          <w:color w:val="000000" w:themeColor="text1"/>
          <w:lang w:val="ru-RU"/>
        </w:rPr>
        <w:t>Министр горнодобывающей промышленности и энергетики и представители пяти других министерств, а также 20 академических факультетов, научных институтов и энергетических компаний подписали меморандум о взаимопонимании (</w:t>
      </w:r>
      <w:proofErr w:type="spellStart"/>
      <w:r w:rsidRPr="00DD4EE1">
        <w:rPr>
          <w:rFonts w:ascii="Calibri" w:eastAsia="Google Sans Text" w:hAnsi="Calibri" w:cs="Calibri"/>
          <w:color w:val="000000" w:themeColor="text1"/>
          <w:lang w:val="ru-RU"/>
        </w:rPr>
        <w:t>МоU</w:t>
      </w:r>
      <w:proofErr w:type="spellEnd"/>
      <w:r w:rsidRPr="00DD4EE1">
        <w:rPr>
          <w:rFonts w:ascii="Calibri" w:eastAsia="Google Sans Text" w:hAnsi="Calibri" w:cs="Calibri"/>
          <w:color w:val="000000" w:themeColor="text1"/>
          <w:lang w:val="ru-RU"/>
        </w:rPr>
        <w:t>) по развитию атомной энергетики в Сербии.</w:t>
      </w:r>
    </w:p>
    <w:p w14:paraId="67F8C24F" w14:textId="64EECAA2" w:rsidR="00DD4EE1" w:rsidRDefault="00DD4EE1" w:rsidP="00DD4EE1">
      <w:pPr>
        <w:pBdr>
          <w:top w:val="nil"/>
          <w:left w:val="nil"/>
          <w:bottom w:val="nil"/>
          <w:right w:val="nil"/>
          <w:between w:val="nil"/>
        </w:pBdr>
        <w:spacing w:after="240" w:line="275" w:lineRule="auto"/>
        <w:jc w:val="both"/>
        <w:rPr>
          <w:rFonts w:ascii="Calibri" w:eastAsia="Google Sans Text" w:hAnsi="Calibri" w:cs="Calibri"/>
          <w:color w:val="000000" w:themeColor="text1"/>
          <w:lang w:val="ru-RU"/>
        </w:rPr>
      </w:pPr>
      <w:r w:rsidRPr="00DD4EE1">
        <w:rPr>
          <w:rFonts w:ascii="Calibri" w:eastAsia="Google Sans Text" w:hAnsi="Calibri" w:cs="Calibri"/>
          <w:color w:val="000000" w:themeColor="text1"/>
          <w:lang w:val="ru-RU"/>
        </w:rPr>
        <w:lastRenderedPageBreak/>
        <w:t xml:space="preserve">Меморандум о взаимопонимании подписали Институт ядерных наук Винчи, СП «Ядерные объекты Сербии», Управление радиационной и ядерной безопасности Сербии, Сербское ядерное общество, Институт физики, Факультет физики, Факультет естественных наук в Нови-Саде, Факультет естественных наук в </w:t>
      </w:r>
      <w:proofErr w:type="spellStart"/>
      <w:r w:rsidRPr="00DD4EE1">
        <w:rPr>
          <w:rFonts w:ascii="Calibri" w:eastAsia="Google Sans Text" w:hAnsi="Calibri" w:cs="Calibri"/>
          <w:color w:val="000000" w:themeColor="text1"/>
          <w:lang w:val="ru-RU"/>
        </w:rPr>
        <w:t>Крагуеваце</w:t>
      </w:r>
      <w:proofErr w:type="spellEnd"/>
      <w:r w:rsidRPr="00DD4EE1">
        <w:rPr>
          <w:rFonts w:ascii="Calibri" w:eastAsia="Google Sans Text" w:hAnsi="Calibri" w:cs="Calibri"/>
          <w:color w:val="000000" w:themeColor="text1"/>
          <w:lang w:val="ru-RU"/>
        </w:rPr>
        <w:t xml:space="preserve">, Факультет электротехники, Факультет машиностроения, Факультет технологии и металлургии из Белграда, Факультет технических наук в Нови-Саде, Институт электротехники Николы Теслы, Факультет физической химии, Факультет биологии, Факультет Гражданское строительство, экономический факультет и медицинский факультет. Другими министерствами, подписавшими его, были Министерство науки, технологического развития и инноваций, Министерство образования, Министерство охраны окружающей среды, Министерство здравоохранения, а также компании </w:t>
      </w:r>
      <w:proofErr w:type="spellStart"/>
      <w:r w:rsidRPr="00DD4EE1">
        <w:rPr>
          <w:rFonts w:ascii="Calibri" w:eastAsia="Google Sans Text" w:hAnsi="Calibri" w:cs="Calibri"/>
          <w:color w:val="000000" w:themeColor="text1"/>
          <w:lang w:val="ru-RU"/>
        </w:rPr>
        <w:t>Elektroprivreda</w:t>
      </w:r>
      <w:proofErr w:type="spellEnd"/>
      <w:r w:rsidRPr="00DD4EE1">
        <w:rPr>
          <w:rFonts w:ascii="Calibri" w:eastAsia="Google Sans Text" w:hAnsi="Calibri" w:cs="Calibri"/>
          <w:color w:val="000000" w:themeColor="text1"/>
          <w:lang w:val="ru-RU"/>
        </w:rPr>
        <w:t xml:space="preserve"> </w:t>
      </w:r>
      <w:proofErr w:type="spellStart"/>
      <w:r w:rsidRPr="00DD4EE1">
        <w:rPr>
          <w:rFonts w:ascii="Calibri" w:eastAsia="Google Sans Text" w:hAnsi="Calibri" w:cs="Calibri"/>
          <w:color w:val="000000" w:themeColor="text1"/>
          <w:lang w:val="ru-RU"/>
        </w:rPr>
        <w:t>Srbije</w:t>
      </w:r>
      <w:proofErr w:type="spellEnd"/>
      <w:r w:rsidRPr="00DD4EE1">
        <w:rPr>
          <w:rFonts w:ascii="Calibri" w:eastAsia="Google Sans Text" w:hAnsi="Calibri" w:cs="Calibri"/>
          <w:color w:val="000000" w:themeColor="text1"/>
          <w:lang w:val="ru-RU"/>
        </w:rPr>
        <w:t xml:space="preserve"> и </w:t>
      </w:r>
      <w:proofErr w:type="spellStart"/>
      <w:r w:rsidRPr="00DD4EE1">
        <w:rPr>
          <w:rFonts w:ascii="Calibri" w:eastAsia="Google Sans Text" w:hAnsi="Calibri" w:cs="Calibri"/>
          <w:color w:val="000000" w:themeColor="text1"/>
          <w:lang w:val="ru-RU"/>
        </w:rPr>
        <w:t>Elektromreza</w:t>
      </w:r>
      <w:proofErr w:type="spellEnd"/>
      <w:r w:rsidRPr="00DD4EE1">
        <w:rPr>
          <w:rFonts w:ascii="Calibri" w:eastAsia="Google Sans Text" w:hAnsi="Calibri" w:cs="Calibri"/>
          <w:color w:val="000000" w:themeColor="text1"/>
          <w:lang w:val="ru-RU"/>
        </w:rPr>
        <w:t xml:space="preserve"> </w:t>
      </w:r>
      <w:proofErr w:type="spellStart"/>
      <w:r w:rsidRPr="00DD4EE1">
        <w:rPr>
          <w:rFonts w:ascii="Calibri" w:eastAsia="Google Sans Text" w:hAnsi="Calibri" w:cs="Calibri"/>
          <w:color w:val="000000" w:themeColor="text1"/>
          <w:lang w:val="ru-RU"/>
        </w:rPr>
        <w:t>Srbije</w:t>
      </w:r>
      <w:proofErr w:type="spellEnd"/>
      <w:r w:rsidRPr="00DD4EE1">
        <w:rPr>
          <w:rFonts w:ascii="Calibri" w:eastAsia="Google Sans Text" w:hAnsi="Calibri" w:cs="Calibri"/>
          <w:color w:val="000000" w:themeColor="text1"/>
          <w:lang w:val="ru-RU"/>
        </w:rPr>
        <w:t>.</w:t>
      </w:r>
    </w:p>
    <w:p w14:paraId="5696F490"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Участники МоВ включают:</w:t>
      </w:r>
    </w:p>
    <w:p w14:paraId="78312003" w14:textId="77777777" w:rsidR="002A0A7D" w:rsidRPr="003046A5" w:rsidRDefault="00000000" w:rsidP="005A5792">
      <w:pPr>
        <w:numPr>
          <w:ilvl w:val="0"/>
          <w:numId w:val="1"/>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Пять Сербских Министерств:</w:t>
      </w:r>
      <w:r w:rsidRPr="003046A5">
        <w:rPr>
          <w:rFonts w:ascii="Calibri" w:eastAsia="Google Sans Text" w:hAnsi="Calibri" w:cs="Calibri"/>
          <w:color w:val="000000" w:themeColor="text1"/>
        </w:rPr>
        <w:t xml:space="preserve"> В подписании приняли участие представители пяти министерств, включая ведущее Министерство горного дела и энергетики, возглавляемое Министром Дубравкой Джедович Ханданович, а также Министерство охраны окружающей среды.</w:t>
      </w:r>
      <w:r w:rsidRPr="003046A5">
        <w:rPr>
          <w:rFonts w:ascii="Calibri" w:eastAsia="Google Sans Text" w:hAnsi="Calibri" w:cs="Calibri"/>
          <w:color w:val="000000" w:themeColor="text1"/>
          <w:sz w:val="24"/>
          <w:szCs w:val="24"/>
          <w:vertAlign w:val="superscript"/>
        </w:rPr>
        <w:t>4</w:t>
      </w:r>
    </w:p>
    <w:p w14:paraId="0FA5FBEB" w14:textId="77777777" w:rsidR="002A0A7D" w:rsidRPr="003046A5" w:rsidRDefault="00000000" w:rsidP="005A5792">
      <w:pPr>
        <w:numPr>
          <w:ilvl w:val="0"/>
          <w:numId w:val="1"/>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b/>
          <w:color w:val="000000" w:themeColor="text1"/>
        </w:rPr>
        <w:t>Двадцать Академических и Научных Учреждений:</w:t>
      </w:r>
      <w:r w:rsidRPr="003046A5">
        <w:rPr>
          <w:rFonts w:ascii="Calibri" w:eastAsia="Google Sans Text" w:hAnsi="Calibri" w:cs="Calibri"/>
          <w:color w:val="000000" w:themeColor="text1"/>
        </w:rPr>
        <w:t xml:space="preserve"> К сотрудничеству были привлечены 20 отечественных факультетов, научных институтов и государственных энергетических компаний.</w:t>
      </w:r>
      <w:r w:rsidRPr="003046A5">
        <w:rPr>
          <w:rFonts w:ascii="Calibri" w:eastAsia="Google Sans Text" w:hAnsi="Calibri" w:cs="Calibri"/>
          <w:color w:val="000000" w:themeColor="text1"/>
          <w:sz w:val="24"/>
          <w:szCs w:val="24"/>
          <w:vertAlign w:val="superscript"/>
        </w:rPr>
        <w:t>3</w:t>
      </w:r>
    </w:p>
    <w:p w14:paraId="6DBE1E57" w14:textId="77777777" w:rsidR="002A0A7D" w:rsidRPr="003046A5" w:rsidRDefault="00000000" w:rsidP="005A5792">
      <w:pPr>
        <w:pBdr>
          <w:top w:val="nil"/>
          <w:left w:val="nil"/>
          <w:bottom w:val="nil"/>
          <w:right w:val="nil"/>
          <w:between w:val="nil"/>
        </w:pBdr>
        <w:spacing w:before="24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Ролевое распределение участников:</w:t>
      </w:r>
    </w:p>
    <w:p w14:paraId="319EE3BF" w14:textId="77777777" w:rsidR="002A0A7D" w:rsidRPr="003046A5" w:rsidRDefault="00000000" w:rsidP="005A5792">
      <w:pPr>
        <w:numPr>
          <w:ilvl w:val="0"/>
          <w:numId w:val="2"/>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Исполнительная Власть (Министерства):</w:t>
      </w:r>
      <w:r w:rsidRPr="003046A5">
        <w:rPr>
          <w:rFonts w:ascii="Calibri" w:eastAsia="Google Sans Text" w:hAnsi="Calibri" w:cs="Calibri"/>
          <w:color w:val="000000" w:themeColor="text1"/>
        </w:rPr>
        <w:t xml:space="preserve"> Обеспечивает институциональную поддержку, разработку регуляторных рамок и координацию процесса. Министр МГиЭ прямо заявила, что МоВ призван дать «ветер в спину» научным учреждениям, чтобы правительство могло ответственно рассмотреть возможность использования ядерной энергии.</w:t>
      </w:r>
      <w:r w:rsidRPr="003046A5">
        <w:rPr>
          <w:rFonts w:ascii="Calibri" w:eastAsia="Google Sans Text" w:hAnsi="Calibri" w:cs="Calibri"/>
          <w:color w:val="000000" w:themeColor="text1"/>
          <w:sz w:val="24"/>
          <w:szCs w:val="24"/>
          <w:vertAlign w:val="superscript"/>
        </w:rPr>
        <w:t>3</w:t>
      </w:r>
    </w:p>
    <w:p w14:paraId="3793DEB2" w14:textId="77777777" w:rsidR="002A0A7D" w:rsidRPr="003046A5" w:rsidRDefault="00000000" w:rsidP="005A5792">
      <w:pPr>
        <w:numPr>
          <w:ilvl w:val="0"/>
          <w:numId w:val="2"/>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Академические Учреждения и Институты:</w:t>
      </w:r>
      <w:r w:rsidRPr="003046A5">
        <w:rPr>
          <w:rFonts w:ascii="Calibri" w:eastAsia="Google Sans Text" w:hAnsi="Calibri" w:cs="Calibri"/>
          <w:color w:val="000000" w:themeColor="text1"/>
        </w:rPr>
        <w:t xml:space="preserve"> Отвечают за развитие образовательных и научных программ, укрепление внутреннего потенциала и подготовку кадров.</w:t>
      </w:r>
      <w:r w:rsidRPr="003046A5">
        <w:rPr>
          <w:rFonts w:ascii="Calibri" w:eastAsia="Google Sans Text" w:hAnsi="Calibri" w:cs="Calibri"/>
          <w:color w:val="000000" w:themeColor="text1"/>
          <w:sz w:val="24"/>
          <w:szCs w:val="24"/>
          <w:vertAlign w:val="superscript"/>
        </w:rPr>
        <w:t>4</w:t>
      </w:r>
    </w:p>
    <w:p w14:paraId="3ED31101" w14:textId="77777777" w:rsidR="002A0A7D" w:rsidRPr="003046A5" w:rsidRDefault="00000000" w:rsidP="005A5792">
      <w:pPr>
        <w:numPr>
          <w:ilvl w:val="0"/>
          <w:numId w:val="2"/>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b/>
          <w:color w:val="000000" w:themeColor="text1"/>
        </w:rPr>
        <w:t>Энергетические Компании:</w:t>
      </w:r>
      <w:r w:rsidRPr="003046A5">
        <w:rPr>
          <w:rFonts w:ascii="Calibri" w:eastAsia="Google Sans Text" w:hAnsi="Calibri" w:cs="Calibri"/>
          <w:color w:val="000000" w:themeColor="text1"/>
        </w:rPr>
        <w:t xml:space="preserve"> Оценивают технико-экономические и рыночные условия, необходимые для потенциального строительства и эксплуатации ядерных объектов.</w:t>
      </w:r>
      <w:r w:rsidRPr="003046A5">
        <w:rPr>
          <w:rFonts w:ascii="Calibri" w:eastAsia="Google Sans Text" w:hAnsi="Calibri" w:cs="Calibri"/>
          <w:color w:val="000000" w:themeColor="text1"/>
          <w:sz w:val="24"/>
          <w:szCs w:val="24"/>
          <w:vertAlign w:val="superscript"/>
        </w:rPr>
        <w:t>3</w:t>
      </w:r>
    </w:p>
    <w:p w14:paraId="33CAED49"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6" w:name="_Toc210253842"/>
      <w:r w:rsidRPr="003046A5">
        <w:rPr>
          <w:rFonts w:ascii="Calibri" w:eastAsia="Google Sans" w:hAnsi="Calibri" w:cs="Calibri"/>
          <w:color w:val="000000" w:themeColor="text1"/>
        </w:rPr>
        <w:t>2.3. Анализ Многосекторального Подхода</w:t>
      </w:r>
      <w:bookmarkEnd w:id="6"/>
    </w:p>
    <w:p w14:paraId="49AECA98"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Многоведомственное участие пяти министерств (которые, вероятно, охватывают энергетику, экологию, науку, финансы и инфраструктуру) сигнализирует о том, что программа ядерной энергетики рассматривается как всеобъемлющий национальный проект, выходящий далеко за рамки сугубо энергетической политики. Это критически важно для соответствия международным стандартам, поскольку создание ядерной инфраструктуры по руководству МАГАТЭ требует скоординированного развития в 19 различных областях, включая право, финансы, регулирование, и управление человеческими ресурсами. Институциональная интеграция, достигнутая через МоВ, обеспечивает необходимую политическую и административную основу для перехода Сербии в Фазу 1 (сбор данных и принятие решений) ядерной программы.</w:t>
      </w:r>
    </w:p>
    <w:p w14:paraId="519EF9C4"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Подчеркивая важность включения экспертов и членов академического сообщества, Премьер-</w:t>
      </w:r>
      <w:r w:rsidRPr="003046A5">
        <w:rPr>
          <w:rFonts w:ascii="Calibri" w:eastAsia="Google Sans Text" w:hAnsi="Calibri" w:cs="Calibri"/>
          <w:color w:val="000000" w:themeColor="text1"/>
        </w:rPr>
        <w:lastRenderedPageBreak/>
        <w:t>министр Вучевич попросил деполитизировать вопрос ядерной энергетики.</w:t>
      </w:r>
      <w:r w:rsidRPr="003046A5">
        <w:rPr>
          <w:rFonts w:ascii="Calibri" w:eastAsia="Google Sans Text" w:hAnsi="Calibri" w:cs="Calibri"/>
          <w:color w:val="000000" w:themeColor="text1"/>
          <w:sz w:val="24"/>
          <w:szCs w:val="24"/>
          <w:vertAlign w:val="superscript"/>
        </w:rPr>
        <w:t>3</w:t>
      </w:r>
      <w:r w:rsidRPr="003046A5">
        <w:rPr>
          <w:rFonts w:ascii="Calibri" w:eastAsia="Google Sans Text" w:hAnsi="Calibri" w:cs="Calibri"/>
          <w:color w:val="000000" w:themeColor="text1"/>
        </w:rPr>
        <w:t xml:space="preserve"> Привлечение 20 научных центров с самого начала проекта является стратегическим ходом для обеспечения легитимности и доверия к программе. Это позволяет обосновывать решения строгой научной оценкой, создавая «технический щит» против возможной политической или общественной оппозиции, тем самым обеспечивая долгосрочную устойчивость проекта.</w:t>
      </w:r>
    </w:p>
    <w:p w14:paraId="5AE0B828"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Таблица 1: Сводная Информация о Меморандуме о Взаимопонимании по Ядерной Энергетике (Июль 2024)</w:t>
      </w:r>
    </w:p>
    <w:p w14:paraId="7A05BC35" w14:textId="34CA119D" w:rsidR="00196640" w:rsidRDefault="00196640">
      <w:pPr>
        <w:rPr>
          <w:rFonts w:ascii="Calibri" w:eastAsia="Google Sans Text" w:hAnsi="Calibri" w:cs="Calibri"/>
          <w:color w:val="000000" w:themeColor="text1"/>
        </w:rPr>
      </w:pPr>
      <w:r>
        <w:rPr>
          <w:rFonts w:ascii="Calibri" w:eastAsia="Google Sans Text" w:hAnsi="Calibri" w:cs="Calibri"/>
          <w:color w:val="000000" w:themeColor="text1"/>
        </w:rPr>
        <w:br w:type="page"/>
      </w:r>
    </w:p>
    <w:p w14:paraId="47128495" w14:textId="77777777" w:rsidR="002A0A7D" w:rsidRPr="003046A5" w:rsidRDefault="002A0A7D" w:rsidP="005A5792">
      <w:pPr>
        <w:pBdr>
          <w:top w:val="nil"/>
          <w:left w:val="nil"/>
          <w:bottom w:val="nil"/>
          <w:right w:val="nil"/>
          <w:between w:val="nil"/>
        </w:pBdr>
        <w:spacing w:line="275" w:lineRule="auto"/>
        <w:jc w:val="both"/>
        <w:rPr>
          <w:rFonts w:ascii="Calibri" w:eastAsia="Google Sans Text" w:hAnsi="Calibri" w:cs="Calibri"/>
          <w:color w:val="000000" w:themeColor="text1"/>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3046A5" w:rsidRPr="003046A5" w14:paraId="4394718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1229C0"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Параметр</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D88530"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Детали</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A657F"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Значение для НТП/Институционального Развития</w:t>
            </w:r>
          </w:p>
        </w:tc>
      </w:tr>
      <w:tr w:rsidR="003046A5" w:rsidRPr="003046A5" w14:paraId="53CBAC3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D54C2C"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Страна</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D809EE"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Республика Сербия</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01B00C"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Стратегическое возобновление ядерного пути после 35 лет запрета.</w:t>
            </w:r>
          </w:p>
        </w:tc>
      </w:tr>
      <w:tr w:rsidR="003046A5" w:rsidRPr="003046A5" w14:paraId="2C13F81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9B252E"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Дата Подписания</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EE3612"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Июль 2024 г.</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9D1AA5"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Официальное начало публичных дебатов и консолидации экспертов. </w:t>
            </w:r>
            <w:r w:rsidRPr="003046A5">
              <w:rPr>
                <w:rFonts w:ascii="Calibri" w:eastAsia="Google Sans Text" w:hAnsi="Calibri" w:cs="Calibri"/>
                <w:color w:val="000000" w:themeColor="text1"/>
                <w:sz w:val="24"/>
                <w:szCs w:val="24"/>
                <w:vertAlign w:val="superscript"/>
              </w:rPr>
              <w:t>6</w:t>
            </w:r>
          </w:p>
        </w:tc>
      </w:tr>
      <w:tr w:rsidR="003046A5" w:rsidRPr="003046A5" w14:paraId="4B068A7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2092FF"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Ключевые Подписанты</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B40CEB"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5 Министерств, 20 Академических Учреждений (факультеты, институты), Государственные Энергетические Компании.</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604367"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Подтверждает многосекторальный, общенациональный подход; фокус на кадрах и институциональном выравнивании. </w:t>
            </w:r>
            <w:r w:rsidRPr="003046A5">
              <w:rPr>
                <w:rFonts w:ascii="Calibri" w:eastAsia="Google Sans Text" w:hAnsi="Calibri" w:cs="Calibri"/>
                <w:color w:val="000000" w:themeColor="text1"/>
                <w:sz w:val="24"/>
                <w:szCs w:val="24"/>
                <w:vertAlign w:val="superscript"/>
              </w:rPr>
              <w:t>4</w:t>
            </w:r>
          </w:p>
        </w:tc>
      </w:tr>
      <w:tr w:rsidR="002A0A7D" w:rsidRPr="003046A5" w14:paraId="5BA2E23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FA5B48"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Основная Цель</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8CBC83"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Установление программы мирного использования ядерной энергии, сбор отечественных и зарубежных экспертов.</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28C1E2"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Институционализация начальной фазы планирования и создание внутренней экспертизы. </w:t>
            </w:r>
            <w:r w:rsidRPr="003046A5">
              <w:rPr>
                <w:rFonts w:ascii="Calibri" w:eastAsia="Google Sans Text" w:hAnsi="Calibri" w:cs="Calibri"/>
                <w:color w:val="000000" w:themeColor="text1"/>
                <w:sz w:val="24"/>
                <w:szCs w:val="24"/>
                <w:vertAlign w:val="superscript"/>
              </w:rPr>
              <w:t>3</w:t>
            </w:r>
          </w:p>
        </w:tc>
      </w:tr>
    </w:tbl>
    <w:p w14:paraId="12CCBC56" w14:textId="77777777" w:rsidR="002A0A7D" w:rsidRPr="003046A5" w:rsidRDefault="002A0A7D"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p>
    <w:p w14:paraId="5361E1BE"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7" w:name="_Toc210253843"/>
      <w:r w:rsidRPr="003046A5">
        <w:rPr>
          <w:rFonts w:ascii="Calibri" w:eastAsia="Google Sans" w:hAnsi="Calibri" w:cs="Calibri"/>
          <w:color w:val="000000" w:themeColor="text1"/>
        </w:rPr>
        <w:t>Раздел II: Создание Национального Научно-Технического Потенциала (НТП)</w:t>
      </w:r>
      <w:bookmarkEnd w:id="7"/>
    </w:p>
    <w:p w14:paraId="42FE568F"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8" w:name="_Toc210253844"/>
      <w:r w:rsidRPr="003046A5">
        <w:rPr>
          <w:rFonts w:ascii="Calibri" w:eastAsia="Google Sans" w:hAnsi="Calibri" w:cs="Calibri"/>
          <w:color w:val="000000" w:themeColor="text1"/>
        </w:rPr>
        <w:t>3.1. Стратегический Императив Инвестиций в Кадры</w:t>
      </w:r>
      <w:bookmarkEnd w:id="8"/>
    </w:p>
    <w:p w14:paraId="15589391"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Центральным элементом стратегического подхода Сербии, закрепленного в МоВ, является понимание того, что строительство ядерной инфраструктуры невозможно без создания надежного национального научно-технического потенциала (НТП).</w:t>
      </w:r>
      <w:r w:rsidRPr="003046A5">
        <w:rPr>
          <w:rFonts w:ascii="Calibri" w:eastAsia="Google Sans Text" w:hAnsi="Calibri" w:cs="Calibri"/>
          <w:color w:val="000000" w:themeColor="text1"/>
          <w:sz w:val="24"/>
          <w:szCs w:val="24"/>
          <w:vertAlign w:val="superscript"/>
        </w:rPr>
        <w:t>6</w:t>
      </w:r>
      <w:r w:rsidRPr="003046A5">
        <w:rPr>
          <w:rFonts w:ascii="Calibri" w:eastAsia="Google Sans Text" w:hAnsi="Calibri" w:cs="Calibri"/>
          <w:color w:val="000000" w:themeColor="text1"/>
        </w:rPr>
        <w:t xml:space="preserve"> Инвестиции в развитие экспертов, обмен знаниями и опытом с мировыми лидерами в области ядерных технологий обозначены как ключевой приоритет.</w:t>
      </w:r>
      <w:r w:rsidRPr="003046A5">
        <w:rPr>
          <w:rFonts w:ascii="Calibri" w:eastAsia="Google Sans Text" w:hAnsi="Calibri" w:cs="Calibri"/>
          <w:color w:val="000000" w:themeColor="text1"/>
          <w:sz w:val="24"/>
          <w:szCs w:val="24"/>
          <w:vertAlign w:val="superscript"/>
        </w:rPr>
        <w:t>6</w:t>
      </w:r>
    </w:p>
    <w:p w14:paraId="0221EA36"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Роль 20 академических факультетов и научных институтов, подписавших МоВ, многогранна и </w:t>
      </w:r>
      <w:r w:rsidRPr="003046A5">
        <w:rPr>
          <w:rFonts w:ascii="Calibri" w:eastAsia="Google Sans Text" w:hAnsi="Calibri" w:cs="Calibri"/>
          <w:color w:val="000000" w:themeColor="text1"/>
        </w:rPr>
        <w:lastRenderedPageBreak/>
        <w:t>направлена на преодоление последствий 35-летнего кадрового вакуума. В их мандат входит разработка новых образовательных и научных программ, а также укрепление мощностей существующих научных институтов для обеспечения профессиональной подготовки персонала.</w:t>
      </w:r>
      <w:r w:rsidRPr="003046A5">
        <w:rPr>
          <w:rFonts w:ascii="Calibri" w:eastAsia="Google Sans Text" w:hAnsi="Calibri" w:cs="Calibri"/>
          <w:color w:val="000000" w:themeColor="text1"/>
          <w:sz w:val="24"/>
          <w:szCs w:val="24"/>
          <w:vertAlign w:val="superscript"/>
        </w:rPr>
        <w:t>4</w:t>
      </w:r>
    </w:p>
    <w:p w14:paraId="6A22C67F"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Важно отметить, что даже во время моратория 1989 года, сербское законодательство сохраняло исключение, разрешающее «научные исследования, научно-исследовательские и опытно-конструкторские работы... и обучение персонала».</w:t>
      </w:r>
      <w:r w:rsidRPr="003046A5">
        <w:rPr>
          <w:rFonts w:ascii="Calibri" w:eastAsia="Google Sans Text" w:hAnsi="Calibri" w:cs="Calibri"/>
          <w:color w:val="000000" w:themeColor="text1"/>
          <w:sz w:val="24"/>
          <w:szCs w:val="24"/>
          <w:vertAlign w:val="superscript"/>
        </w:rPr>
        <w:t>3</w:t>
      </w:r>
      <w:r w:rsidRPr="003046A5">
        <w:rPr>
          <w:rFonts w:ascii="Calibri" w:eastAsia="Google Sans Text" w:hAnsi="Calibri" w:cs="Calibri"/>
          <w:color w:val="000000" w:themeColor="text1"/>
        </w:rPr>
        <w:t xml:space="preserve"> Это позволило сохранить небольшое, но критически важное ядро экспертизы, которое теперь необходимо масштабировать.</w:t>
      </w:r>
    </w:p>
    <w:p w14:paraId="7145FD57"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9" w:name="_Toc210253845"/>
      <w:r w:rsidRPr="003046A5">
        <w:rPr>
          <w:rFonts w:ascii="Calibri" w:eastAsia="Google Sans" w:hAnsi="Calibri" w:cs="Calibri"/>
          <w:color w:val="000000" w:themeColor="text1"/>
        </w:rPr>
        <w:t>3.2. Роль Академии в Возрождении Ядерного Цикла</w:t>
      </w:r>
      <w:bookmarkEnd w:id="9"/>
    </w:p>
    <w:p w14:paraId="2D695B54"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Историческим центром сербского ядерного потенциала является Институт ядерных наук «Винча» (Vinča Institute of Nuclear Sciences), который ранее служил основным источником экспертов для Белградского университета и участвовал в создании новых институтов.</w:t>
      </w:r>
      <w:r w:rsidRPr="003046A5">
        <w:rPr>
          <w:rFonts w:ascii="Calibri" w:eastAsia="Google Sans Text" w:hAnsi="Calibri" w:cs="Calibri"/>
          <w:color w:val="000000" w:themeColor="text1"/>
          <w:sz w:val="24"/>
          <w:szCs w:val="24"/>
          <w:vertAlign w:val="superscript"/>
        </w:rPr>
        <w:t>9</w:t>
      </w:r>
      <w:r w:rsidRPr="003046A5">
        <w:rPr>
          <w:rFonts w:ascii="Calibri" w:eastAsia="Google Sans Text" w:hAnsi="Calibri" w:cs="Calibri"/>
          <w:color w:val="000000" w:themeColor="text1"/>
        </w:rPr>
        <w:t xml:space="preserve"> Еще в 2001 году «Винча» предложила правительству возобновление ядерной программы, что подтверждает наличие базовых знаний, которые теперь становятся основой для восстановления НТП.</w:t>
      </w:r>
      <w:r w:rsidRPr="003046A5">
        <w:rPr>
          <w:rFonts w:ascii="Calibri" w:eastAsia="Google Sans Text" w:hAnsi="Calibri" w:cs="Calibri"/>
          <w:color w:val="000000" w:themeColor="text1"/>
          <w:sz w:val="24"/>
          <w:szCs w:val="24"/>
          <w:vertAlign w:val="superscript"/>
        </w:rPr>
        <w:t>9</w:t>
      </w:r>
    </w:p>
    <w:p w14:paraId="3DE18294"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 xml:space="preserve">Текущая цель Сербии по развертыванию 1200 МВт мощности на малых модульных реакторах (SMR) </w:t>
      </w:r>
      <w:r w:rsidRPr="003046A5">
        <w:rPr>
          <w:rFonts w:ascii="Calibri" w:eastAsia="Google Sans Text" w:hAnsi="Calibri" w:cs="Calibri"/>
          <w:color w:val="000000" w:themeColor="text1"/>
          <w:sz w:val="24"/>
          <w:szCs w:val="24"/>
          <w:vertAlign w:val="superscript"/>
        </w:rPr>
        <w:t>1</w:t>
      </w:r>
      <w:r w:rsidRPr="003046A5">
        <w:rPr>
          <w:rFonts w:ascii="Calibri" w:eastAsia="Google Sans Text" w:hAnsi="Calibri" w:cs="Calibri"/>
          <w:color w:val="000000" w:themeColor="text1"/>
        </w:rPr>
        <w:t xml:space="preserve"> предъявляет специфические требования к подготовке кадров, выходящие за рамки традиционной ядерной инженерии. НТП должен быть готов к:</w:t>
      </w:r>
    </w:p>
    <w:p w14:paraId="0F5B322C" w14:textId="77777777" w:rsidR="002A0A7D" w:rsidRPr="003046A5" w:rsidRDefault="00000000" w:rsidP="005A5792">
      <w:pPr>
        <w:numPr>
          <w:ilvl w:val="0"/>
          <w:numId w:val="3"/>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color w:val="000000" w:themeColor="text1"/>
        </w:rPr>
        <w:t>Подготовке специалистов по цифровым технологиям и автоматизации, характерным для современных SMR.</w:t>
      </w:r>
    </w:p>
    <w:p w14:paraId="38A0839F" w14:textId="77777777" w:rsidR="002A0A7D" w:rsidRPr="003046A5" w:rsidRDefault="00000000" w:rsidP="005A5792">
      <w:pPr>
        <w:numPr>
          <w:ilvl w:val="0"/>
          <w:numId w:val="3"/>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color w:val="000000" w:themeColor="text1"/>
        </w:rPr>
        <w:t>Разработке регуляторных и лицензионных процедур, адаптированных к серийному и модульному производству.</w:t>
      </w:r>
    </w:p>
    <w:p w14:paraId="00E6491A" w14:textId="77777777" w:rsidR="002A0A7D" w:rsidRPr="003046A5" w:rsidRDefault="00000000" w:rsidP="005A5792">
      <w:pPr>
        <w:numPr>
          <w:ilvl w:val="0"/>
          <w:numId w:val="3"/>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color w:val="000000" w:themeColor="text1"/>
        </w:rPr>
        <w:t>Обеспечению экспертизы в области безопасности и обращения с отходами, специфичными для новых типов реакторов.</w:t>
      </w:r>
    </w:p>
    <w:p w14:paraId="1D8F11DC" w14:textId="77777777" w:rsidR="002A0A7D" w:rsidRPr="003046A5" w:rsidRDefault="00000000" w:rsidP="005A5792">
      <w:pPr>
        <w:pBdr>
          <w:top w:val="nil"/>
          <w:left w:val="nil"/>
          <w:bottom w:val="nil"/>
          <w:right w:val="nil"/>
          <w:between w:val="nil"/>
        </w:pBdr>
        <w:spacing w:before="240"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Привлечение 20 академических структур является прямым ответом на вызов, связанный с «потерянным поколением» экспертов. Ни одно учреждение не в состоянии самостоятельно обеспечить тысячами высококвалифицированных специалистов, необходимых для полноценного ядерного цикла. Массовое вовлечение научных и образовательных центров направлено на быстрое создание конкурентной среды, разработку межфакультетских и междисциплинарных программ, и, главное, на интеграцию научных исследований (НИОКР) с практическими потребностями будущей атомной промышленности. Это обеспечивает устойчивость кадровой воронки на долгие годы.</w:t>
      </w:r>
    </w:p>
    <w:p w14:paraId="4915BA46"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0" w:name="_Toc210253846"/>
      <w:r w:rsidRPr="003046A5">
        <w:rPr>
          <w:rFonts w:ascii="Calibri" w:eastAsia="Google Sans" w:hAnsi="Calibri" w:cs="Calibri"/>
          <w:color w:val="000000" w:themeColor="text1"/>
        </w:rPr>
        <w:t>3.3. Интернационализация НТП</w:t>
      </w:r>
      <w:bookmarkEnd w:id="10"/>
    </w:p>
    <w:p w14:paraId="1EC6BC38"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Поскольку национальный НТП находится на этапе восстановления, жизненно важным является немедленное и углубленное международное сотрудничество. Сербия активно ищет поддержку в финансировании и ноу-хау у ведущих мировых держав.</w:t>
      </w:r>
    </w:p>
    <w:p w14:paraId="492F6B9D"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МоВ служит внутренним инструментом консолидации, в то время как международное сотрудничество обеспечивает доступ к критически важным знаниям и стандартам:</w:t>
      </w:r>
    </w:p>
    <w:p w14:paraId="3B403383" w14:textId="77777777" w:rsidR="002A0A7D" w:rsidRPr="003046A5" w:rsidRDefault="00000000" w:rsidP="005A5792">
      <w:pPr>
        <w:numPr>
          <w:ilvl w:val="0"/>
          <w:numId w:val="4"/>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lastRenderedPageBreak/>
        <w:t>МАГАТЭ:</w:t>
      </w:r>
      <w:r w:rsidRPr="003046A5">
        <w:rPr>
          <w:rFonts w:ascii="Calibri" w:eastAsia="Google Sans Text" w:hAnsi="Calibri" w:cs="Calibri"/>
          <w:color w:val="000000" w:themeColor="text1"/>
        </w:rPr>
        <w:t xml:space="preserve"> Сербия активно сотрудничает с Международным агентством по атомной энергии, которое оказывает поддержку и содействие в развитии национальной инфраструктуры для мирного использования ядерной энергии.</w:t>
      </w:r>
      <w:r w:rsidRPr="003046A5">
        <w:rPr>
          <w:rFonts w:ascii="Calibri" w:eastAsia="Google Sans Text" w:hAnsi="Calibri" w:cs="Calibri"/>
          <w:color w:val="000000" w:themeColor="text1"/>
          <w:sz w:val="24"/>
          <w:szCs w:val="24"/>
          <w:vertAlign w:val="superscript"/>
        </w:rPr>
        <w:t>5</w:t>
      </w:r>
    </w:p>
    <w:p w14:paraId="2904FB63" w14:textId="77777777" w:rsidR="002A0A7D" w:rsidRPr="003046A5" w:rsidRDefault="00000000" w:rsidP="005A5792">
      <w:pPr>
        <w:numPr>
          <w:ilvl w:val="0"/>
          <w:numId w:val="4"/>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Франция:</w:t>
      </w:r>
      <w:r w:rsidRPr="003046A5">
        <w:rPr>
          <w:rFonts w:ascii="Calibri" w:eastAsia="Google Sans Text" w:hAnsi="Calibri" w:cs="Calibri"/>
          <w:color w:val="000000" w:themeColor="text1"/>
        </w:rPr>
        <w:t xml:space="preserve"> Французская компания EDF и консалтинговая фирма Egis были привлечены для проведения предварительного технического исследования (ПТИ).</w:t>
      </w:r>
      <w:r w:rsidRPr="003046A5">
        <w:rPr>
          <w:rFonts w:ascii="Calibri" w:eastAsia="Google Sans Text" w:hAnsi="Calibri" w:cs="Calibri"/>
          <w:color w:val="000000" w:themeColor="text1"/>
          <w:sz w:val="24"/>
          <w:szCs w:val="24"/>
          <w:vertAlign w:val="superscript"/>
        </w:rPr>
        <w:t>1</w:t>
      </w:r>
    </w:p>
    <w:p w14:paraId="3F2CD3CA" w14:textId="77777777" w:rsidR="002A0A7D" w:rsidRPr="003046A5" w:rsidRDefault="00000000" w:rsidP="005A5792">
      <w:pPr>
        <w:numPr>
          <w:ilvl w:val="0"/>
          <w:numId w:val="4"/>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b/>
          <w:color w:val="000000" w:themeColor="text1"/>
        </w:rPr>
        <w:t>Южная Корея:</w:t>
      </w:r>
      <w:r w:rsidRPr="003046A5">
        <w:rPr>
          <w:rFonts w:ascii="Calibri" w:eastAsia="Google Sans Text" w:hAnsi="Calibri" w:cs="Calibri"/>
          <w:color w:val="000000" w:themeColor="text1"/>
        </w:rPr>
        <w:t xml:space="preserve"> С Южной Кореей (KHNP) обсуждаются вопросы сотрудничества в области ядерных и водородных технологий, рассматриваются потенциальные пилотные проекты.</w:t>
      </w:r>
      <w:r w:rsidRPr="003046A5">
        <w:rPr>
          <w:rFonts w:ascii="Calibri" w:eastAsia="Google Sans Text" w:hAnsi="Calibri" w:cs="Calibri"/>
          <w:color w:val="000000" w:themeColor="text1"/>
          <w:sz w:val="24"/>
          <w:szCs w:val="24"/>
          <w:vertAlign w:val="superscript"/>
        </w:rPr>
        <w:t>6</w:t>
      </w:r>
    </w:p>
    <w:p w14:paraId="35C5C985" w14:textId="77777777" w:rsidR="002A0A7D" w:rsidRPr="003046A5" w:rsidRDefault="00000000" w:rsidP="005A5792">
      <w:pPr>
        <w:pBdr>
          <w:top w:val="nil"/>
          <w:left w:val="nil"/>
          <w:bottom w:val="nil"/>
          <w:right w:val="nil"/>
          <w:between w:val="nil"/>
        </w:pBdr>
        <w:spacing w:before="240"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Международное сотрудничество, синхронизированное с масштабными внутренними академическими усилиями, позволяет Сербии ускорить запуск программы без ущерба для стандартов безопасности.</w:t>
      </w:r>
    </w:p>
    <w:p w14:paraId="071677D2"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11" w:name="_Toc210253847"/>
      <w:r w:rsidRPr="003046A5">
        <w:rPr>
          <w:rFonts w:ascii="Calibri" w:eastAsia="Google Sans" w:hAnsi="Calibri" w:cs="Calibri"/>
          <w:color w:val="000000" w:themeColor="text1"/>
        </w:rPr>
        <w:t>Раздел III: Институциональные и Регуляторные Рамки для Реализации Программы</w:t>
      </w:r>
      <w:bookmarkEnd w:id="11"/>
    </w:p>
    <w:p w14:paraId="769E3D8C"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2" w:name="_Toc210253848"/>
      <w:r w:rsidRPr="003046A5">
        <w:rPr>
          <w:rFonts w:ascii="Calibri" w:eastAsia="Google Sans" w:hAnsi="Calibri" w:cs="Calibri"/>
          <w:color w:val="000000" w:themeColor="text1"/>
        </w:rPr>
        <w:t>4.1. Создание Специализированного Координационного Органа (СКО)</w:t>
      </w:r>
      <w:bookmarkEnd w:id="12"/>
    </w:p>
    <w:p w14:paraId="762A7703"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Масштабное сотрудничество, закрепленное в МоВ, требует централизованного механизма управления. В рамках реализации программы было анонсировано создание специализированного Координационного Органа (СКО). Этот орган будет нести ответственность за дальнейшую координацию развития ядерной программы.</w:t>
      </w:r>
      <w:r w:rsidRPr="003046A5">
        <w:rPr>
          <w:rFonts w:ascii="Calibri" w:eastAsia="Google Sans Text" w:hAnsi="Calibri" w:cs="Calibri"/>
          <w:color w:val="000000" w:themeColor="text1"/>
          <w:sz w:val="24"/>
          <w:szCs w:val="24"/>
          <w:vertAlign w:val="superscript"/>
        </w:rPr>
        <w:t>10</w:t>
      </w:r>
    </w:p>
    <w:p w14:paraId="5624920B"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Ключевым мандатом СКО является обеспечение соответствия деятельности программы руководящим принципам Международного агентства по атомной энергии (МАГАТЭ).</w:t>
      </w:r>
      <w:r w:rsidRPr="003046A5">
        <w:rPr>
          <w:rFonts w:ascii="Calibri" w:eastAsia="Google Sans Text" w:hAnsi="Calibri" w:cs="Calibri"/>
          <w:color w:val="000000" w:themeColor="text1"/>
          <w:sz w:val="24"/>
          <w:szCs w:val="24"/>
          <w:vertAlign w:val="superscript"/>
        </w:rPr>
        <w:t>10</w:t>
      </w:r>
      <w:r w:rsidRPr="003046A5">
        <w:rPr>
          <w:rFonts w:ascii="Calibri" w:eastAsia="Google Sans Text" w:hAnsi="Calibri" w:cs="Calibri"/>
          <w:color w:val="000000" w:themeColor="text1"/>
        </w:rPr>
        <w:t xml:space="preserve"> Создание такого центрального органа является обязательным требованием для успешного прохождения Фазы 1 программы развития ядерной инфраструктуры МАГАТЭ, где необходимо сформировать единую, уполномоченную структуру управления.</w:t>
      </w:r>
    </w:p>
    <w:p w14:paraId="540395AC"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 xml:space="preserve">Помимо СКО, критически важной задачей является укрепление существующей регуляторной базы. Директорат по радиационной и ядерной безопасности Сербии (СРБАТОМ) </w:t>
      </w:r>
      <w:r w:rsidRPr="003046A5">
        <w:rPr>
          <w:rFonts w:ascii="Calibri" w:eastAsia="Google Sans Text" w:hAnsi="Calibri" w:cs="Calibri"/>
          <w:color w:val="000000" w:themeColor="text1"/>
          <w:sz w:val="24"/>
          <w:szCs w:val="24"/>
          <w:vertAlign w:val="superscript"/>
        </w:rPr>
        <w:t>11</w:t>
      </w:r>
      <w:r w:rsidRPr="003046A5">
        <w:rPr>
          <w:rFonts w:ascii="Calibri" w:eastAsia="Google Sans Text" w:hAnsi="Calibri" w:cs="Calibri"/>
          <w:color w:val="000000" w:themeColor="text1"/>
        </w:rPr>
        <w:t xml:space="preserve"> должен быть усилен для разработки полного институционального и регуляторного каркаса, необходимого для лицензирования и безопасной эксплуатации будущих ядерных объектов, особенно SMR.</w:t>
      </w:r>
    </w:p>
    <w:p w14:paraId="7D7E1E9E"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3" w:name="_Toc210253849"/>
      <w:r w:rsidRPr="003046A5">
        <w:rPr>
          <w:rFonts w:ascii="Calibri" w:eastAsia="Google Sans" w:hAnsi="Calibri" w:cs="Calibri"/>
          <w:color w:val="000000" w:themeColor="text1"/>
        </w:rPr>
        <w:t>4.2. Роль Предварительного Технического Исследования (ПТИ)</w:t>
      </w:r>
      <w:bookmarkEnd w:id="13"/>
    </w:p>
    <w:p w14:paraId="70B1DCB5"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МоВ инициировал ряд немедленных практических шагов. Одним из первых стало Предварительное Техническое Исследование (ПТИ) по потенциальному использованию ядерной энергии, которое было инициировано МГиЭ еще до подписания МоВ.</w:t>
      </w:r>
      <w:r w:rsidRPr="003046A5">
        <w:rPr>
          <w:rFonts w:ascii="Calibri" w:eastAsia="Google Sans Text" w:hAnsi="Calibri" w:cs="Calibri"/>
          <w:color w:val="000000" w:themeColor="text1"/>
          <w:sz w:val="24"/>
          <w:szCs w:val="24"/>
          <w:vertAlign w:val="superscript"/>
        </w:rPr>
        <w:t>6</w:t>
      </w:r>
      <w:r w:rsidRPr="003046A5">
        <w:rPr>
          <w:rFonts w:ascii="Calibri" w:eastAsia="Google Sans Text" w:hAnsi="Calibri" w:cs="Calibri"/>
          <w:color w:val="000000" w:themeColor="text1"/>
        </w:rPr>
        <w:t xml:space="preserve"> В октябре 2024 года контракт на проведение этого исследования был заключен с французскими компаниями EDF и Egis.</w:t>
      </w:r>
      <w:r w:rsidRPr="003046A5">
        <w:rPr>
          <w:rFonts w:ascii="Calibri" w:eastAsia="Google Sans Text" w:hAnsi="Calibri" w:cs="Calibri"/>
          <w:color w:val="000000" w:themeColor="text1"/>
          <w:sz w:val="24"/>
          <w:szCs w:val="24"/>
          <w:vertAlign w:val="superscript"/>
        </w:rPr>
        <w:t>1</w:t>
      </w:r>
    </w:p>
    <w:p w14:paraId="726D0356"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Задачи ПТИ включают предоставление всесторонней технической и экономической основы для принятия решений:</w:t>
      </w:r>
    </w:p>
    <w:p w14:paraId="5B25F68C" w14:textId="77777777" w:rsidR="002A0A7D" w:rsidRPr="003046A5" w:rsidRDefault="00000000" w:rsidP="005A5792">
      <w:pPr>
        <w:numPr>
          <w:ilvl w:val="0"/>
          <w:numId w:val="5"/>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color w:val="000000" w:themeColor="text1"/>
        </w:rPr>
        <w:lastRenderedPageBreak/>
        <w:t>Проведение сравнительного анализа доступных технологий на рынке, с учетом заявленной цели по 1200 МВт SMR.</w:t>
      </w:r>
      <w:r w:rsidRPr="003046A5">
        <w:rPr>
          <w:rFonts w:ascii="Calibri" w:eastAsia="Google Sans Text" w:hAnsi="Calibri" w:cs="Calibri"/>
          <w:color w:val="000000" w:themeColor="text1"/>
          <w:sz w:val="24"/>
          <w:szCs w:val="24"/>
          <w:vertAlign w:val="superscript"/>
        </w:rPr>
        <w:t>1</w:t>
      </w:r>
    </w:p>
    <w:p w14:paraId="5A703FE2" w14:textId="77777777" w:rsidR="002A0A7D" w:rsidRPr="003046A5" w:rsidRDefault="00000000" w:rsidP="005A5792">
      <w:pPr>
        <w:numPr>
          <w:ilvl w:val="0"/>
          <w:numId w:val="5"/>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color w:val="000000" w:themeColor="text1"/>
        </w:rPr>
        <w:t>Оценка преимуществ, недостатков и технико-экономических условий для потенциального строительства ядерных объектов.</w:t>
      </w:r>
      <w:r w:rsidRPr="003046A5">
        <w:rPr>
          <w:rFonts w:ascii="Calibri" w:eastAsia="Google Sans Text" w:hAnsi="Calibri" w:cs="Calibri"/>
          <w:color w:val="000000" w:themeColor="text1"/>
          <w:sz w:val="24"/>
          <w:szCs w:val="24"/>
          <w:vertAlign w:val="superscript"/>
        </w:rPr>
        <w:t>3</w:t>
      </w:r>
    </w:p>
    <w:p w14:paraId="1F4FB7F1" w14:textId="77777777" w:rsidR="002A0A7D" w:rsidRPr="003046A5" w:rsidRDefault="00000000" w:rsidP="005A5792">
      <w:pPr>
        <w:pBdr>
          <w:top w:val="nil"/>
          <w:left w:val="nil"/>
          <w:bottom w:val="nil"/>
          <w:right w:val="nil"/>
          <w:between w:val="nil"/>
        </w:pBdr>
        <w:spacing w:before="240" w:after="240"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Результаты ПТИ имеют прямое влияние на развитие НТП. Они предоставят 20 академическим учреждениям четкие ориентиры относительно того, какие именно технологические направления (например, конкретные типы SMR) должны стать основой для разработки специализированных образовательных и научно-исследовательских программ.</w:t>
      </w:r>
      <w:r w:rsidRPr="003046A5">
        <w:rPr>
          <w:rFonts w:ascii="Calibri" w:eastAsia="Google Sans Text" w:hAnsi="Calibri" w:cs="Calibri"/>
          <w:color w:val="000000" w:themeColor="text1"/>
          <w:sz w:val="24"/>
          <w:szCs w:val="24"/>
          <w:vertAlign w:val="superscript"/>
        </w:rPr>
        <w:t>12</w:t>
      </w:r>
    </w:p>
    <w:p w14:paraId="33FA34C9"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4" w:name="_Toc210253850"/>
      <w:r w:rsidRPr="003046A5">
        <w:rPr>
          <w:rFonts w:ascii="Calibri" w:eastAsia="Google Sans" w:hAnsi="Calibri" w:cs="Calibri"/>
          <w:color w:val="000000" w:themeColor="text1"/>
        </w:rPr>
        <w:t>4.3. Институциональная Структура как Фокус Власти</w:t>
      </w:r>
      <w:bookmarkEnd w:id="14"/>
    </w:p>
    <w:p w14:paraId="2B6E5841"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Привлечение ведущих международных консультантов (EDF/Egis) для ПТИ, несмотря на вовлечение 20 отечественных институтов, является стратегической мерой для обеспечения объективности и соответствия мировым стандартам. Программа, находящаяся на стадии восстановления, не может опираться исключительно на внутреннюю экспертизу, особенно в оценке быстро развивающихся SMR-технологий. Это также усиливает переговорные позиции правительства в отношениях с потенциальными зарубежными поставщиками технологий.</w:t>
      </w:r>
    </w:p>
    <w:p w14:paraId="433C86E9"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Создание СКО в соответствии с руководством МАГАТЭ указывает на то, что МоВ является актом передачи полномочий централизованному, постоянно действующему операционному органу. Для международных партнеров наличие такого централизованного координационного тела снижает регуляторный и институциональный риск. СКО выступает как единая точка принятия решений, которая должна эффективно трансформировать политическое согласие пяти министерств и научно-исследовательскую работу 20 центров в измеримый технический прогресс. МоВ, таким образом, формализует переход от Фазы 0 (Политическая воля) к структурированному началу Фазы 1 (Инфраструктура и обоснование) по методологии МАГАТЭ.</w:t>
      </w:r>
    </w:p>
    <w:p w14:paraId="0410758F"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Таблица 2: Структурные Элементы Институционального Развития и Планирования</w:t>
      </w:r>
    </w:p>
    <w:p w14:paraId="067AAB6C" w14:textId="77777777" w:rsidR="002A0A7D" w:rsidRPr="003046A5" w:rsidRDefault="002A0A7D" w:rsidP="005A5792">
      <w:pPr>
        <w:pBdr>
          <w:top w:val="nil"/>
          <w:left w:val="nil"/>
          <w:bottom w:val="nil"/>
          <w:right w:val="nil"/>
          <w:between w:val="nil"/>
        </w:pBdr>
        <w:spacing w:line="275" w:lineRule="auto"/>
        <w:jc w:val="both"/>
        <w:rPr>
          <w:rFonts w:ascii="Calibri" w:eastAsia="Google Sans Text" w:hAnsi="Calibri" w:cs="Calibri"/>
          <w:color w:val="000000" w:themeColor="text1"/>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046A5" w:rsidRPr="003046A5" w14:paraId="6F31BCA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0EF1C1"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Элемент Программы</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5D3055"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Статус / Действия (Пост-МоВ)</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14280F"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Ключевой Результат / Мандат</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51B8F8"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Связь с МАГАТЭ/НТП</w:t>
            </w:r>
          </w:p>
        </w:tc>
      </w:tr>
      <w:tr w:rsidR="003046A5" w:rsidRPr="003046A5" w14:paraId="2C33697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20876C"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Специализированный Координационный Орган (СКО)</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F83233"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Планируется создание.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AA7A97"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Координация программы в соответствии с руководящими принципами МАГАТЭ.</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2D9ED6"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Соответствие принципам Фазы 1 (Milestone 1) – Единая структура управления. </w:t>
            </w:r>
            <w:r w:rsidRPr="003046A5">
              <w:rPr>
                <w:rFonts w:ascii="Calibri" w:eastAsia="Google Sans Text" w:hAnsi="Calibri" w:cs="Calibri"/>
                <w:color w:val="000000" w:themeColor="text1"/>
                <w:sz w:val="24"/>
                <w:szCs w:val="24"/>
                <w:vertAlign w:val="superscript"/>
              </w:rPr>
              <w:t>10</w:t>
            </w:r>
          </w:p>
        </w:tc>
      </w:tr>
      <w:tr w:rsidR="003046A5" w:rsidRPr="003046A5" w14:paraId="787B471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62898C"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lastRenderedPageBreak/>
              <w:t>Предварительное Техническое Исследование (ПТИ)</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438EFC"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Заказано и проводится (Франция: EDF/Egis).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D12C32"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Сравнительный анализ SMR-технологий, определение технико-экономических условий.</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993B0E"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Обеспечение объективной технической основы для НТП и выбора образовательных приоритетов. </w:t>
            </w:r>
            <w:r w:rsidRPr="003046A5">
              <w:rPr>
                <w:rFonts w:ascii="Calibri" w:eastAsia="Google Sans Text" w:hAnsi="Calibri" w:cs="Calibri"/>
                <w:color w:val="000000" w:themeColor="text1"/>
                <w:sz w:val="24"/>
                <w:szCs w:val="24"/>
                <w:vertAlign w:val="superscript"/>
              </w:rPr>
              <w:t>1</w:t>
            </w:r>
          </w:p>
        </w:tc>
      </w:tr>
      <w:tr w:rsidR="003046A5" w:rsidRPr="003046A5" w14:paraId="0094274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638112"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Развитие НТП (20 учреждений)</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5B541A"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Мандат, закрепленный МоВ.</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B624A3"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Разработка образовательных/научных программ, укрепление потенциала институтов.</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A86E16"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Создание устойчивого кадрового резерва и восстановление технологической независимости. </w:t>
            </w:r>
            <w:r w:rsidRPr="003046A5">
              <w:rPr>
                <w:rFonts w:ascii="Calibri" w:eastAsia="Google Sans Text" w:hAnsi="Calibri" w:cs="Calibri"/>
                <w:color w:val="000000" w:themeColor="text1"/>
                <w:sz w:val="24"/>
                <w:szCs w:val="24"/>
                <w:vertAlign w:val="superscript"/>
              </w:rPr>
              <w:t>4</w:t>
            </w:r>
          </w:p>
        </w:tc>
      </w:tr>
      <w:tr w:rsidR="002A0A7D" w:rsidRPr="003046A5" w14:paraId="57E36B3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B45843"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b/>
                <w:color w:val="000000" w:themeColor="text1"/>
              </w:rPr>
            </w:pPr>
            <w:r w:rsidRPr="003046A5">
              <w:rPr>
                <w:rFonts w:ascii="Calibri" w:eastAsia="Google Sans Text" w:hAnsi="Calibri" w:cs="Calibri"/>
                <w:b/>
                <w:color w:val="000000" w:themeColor="text1"/>
              </w:rPr>
              <w:t>Законодательная База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AAF162"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Приняты поправки к закону об энергетике.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FB293F" w14:textId="77777777" w:rsidR="002A0A7D" w:rsidRPr="003046A5" w:rsidRDefault="00000000" w:rsidP="005A5792">
            <w:pPr>
              <w:pBdr>
                <w:top w:val="nil"/>
                <w:left w:val="nil"/>
                <w:bottom w:val="nil"/>
                <w:right w:val="nil"/>
                <w:between w:val="nil"/>
              </w:pBdr>
              <w:spacing w:before="120"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Отмена 35-летнего запрета на строительство АЭС.</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6A3E44" w14:textId="77777777" w:rsidR="002A0A7D" w:rsidRPr="003046A5" w:rsidRDefault="00000000" w:rsidP="005A5792">
            <w:pPr>
              <w:pBdr>
                <w:top w:val="nil"/>
                <w:left w:val="nil"/>
                <w:bottom w:val="nil"/>
                <w:right w:val="nil"/>
                <w:between w:val="nil"/>
              </w:pBdr>
              <w:spacing w:line="275" w:lineRule="auto"/>
              <w:jc w:val="both"/>
              <w:rPr>
                <w:rFonts w:ascii="Calibri" w:eastAsia="Google Sans Text" w:hAnsi="Calibri" w:cs="Calibri"/>
                <w:color w:val="000000" w:themeColor="text1"/>
                <w:sz w:val="24"/>
                <w:szCs w:val="24"/>
                <w:vertAlign w:val="superscript"/>
              </w:rPr>
            </w:pPr>
            <w:r w:rsidRPr="003046A5">
              <w:rPr>
                <w:rFonts w:ascii="Calibri" w:eastAsia="Google Sans Text" w:hAnsi="Calibri" w:cs="Calibri"/>
                <w:color w:val="000000" w:themeColor="text1"/>
              </w:rPr>
              <w:t xml:space="preserve">Устранение юридических барьеров, повышение инвестиционной привлекательности. </w:t>
            </w:r>
            <w:r w:rsidRPr="003046A5">
              <w:rPr>
                <w:rFonts w:ascii="Calibri" w:eastAsia="Google Sans Text" w:hAnsi="Calibri" w:cs="Calibri"/>
                <w:color w:val="000000" w:themeColor="text1"/>
                <w:sz w:val="24"/>
                <w:szCs w:val="24"/>
                <w:vertAlign w:val="superscript"/>
              </w:rPr>
              <w:t>1</w:t>
            </w:r>
          </w:p>
        </w:tc>
      </w:tr>
    </w:tbl>
    <w:p w14:paraId="4A957692" w14:textId="77777777" w:rsidR="002A0A7D" w:rsidRPr="003046A5" w:rsidRDefault="002A0A7D" w:rsidP="005A5792">
      <w:pPr>
        <w:pBdr>
          <w:top w:val="nil"/>
          <w:left w:val="nil"/>
          <w:bottom w:val="nil"/>
          <w:right w:val="nil"/>
          <w:between w:val="nil"/>
        </w:pBdr>
        <w:spacing w:after="240" w:line="275" w:lineRule="auto"/>
        <w:jc w:val="both"/>
        <w:rPr>
          <w:rFonts w:ascii="Calibri" w:eastAsia="Google Sans Text" w:hAnsi="Calibri" w:cs="Calibri"/>
          <w:color w:val="000000" w:themeColor="text1"/>
          <w:sz w:val="24"/>
          <w:szCs w:val="24"/>
          <w:vertAlign w:val="superscript"/>
        </w:rPr>
      </w:pPr>
    </w:p>
    <w:p w14:paraId="62F2AB75"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15" w:name="_Toc210253851"/>
      <w:r w:rsidRPr="003046A5">
        <w:rPr>
          <w:rFonts w:ascii="Calibri" w:eastAsia="Google Sans" w:hAnsi="Calibri" w:cs="Calibri"/>
          <w:color w:val="000000" w:themeColor="text1"/>
        </w:rPr>
        <w:t>Раздел IV: Вызовы, Рекомендации и Долгосрочные Перспективы</w:t>
      </w:r>
      <w:bookmarkEnd w:id="15"/>
    </w:p>
    <w:p w14:paraId="0BBAB249"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6" w:name="_Toc210253852"/>
      <w:r w:rsidRPr="003046A5">
        <w:rPr>
          <w:rFonts w:ascii="Calibri" w:eastAsia="Google Sans" w:hAnsi="Calibri" w:cs="Calibri"/>
          <w:color w:val="000000" w:themeColor="text1"/>
        </w:rPr>
        <w:t>5.1. Основные Вызовы Реализации Программы</w:t>
      </w:r>
      <w:bookmarkEnd w:id="16"/>
    </w:p>
    <w:p w14:paraId="4D378A1A"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Несмотря на мощную институциональную поддержку, успех сербской ядерной программы будет зависеть от преодоления ряда серьезных вызовов:</w:t>
      </w:r>
    </w:p>
    <w:p w14:paraId="66B9EC86" w14:textId="77777777" w:rsidR="002A0A7D" w:rsidRPr="003046A5" w:rsidRDefault="00000000" w:rsidP="005A5792">
      <w:pPr>
        <w:numPr>
          <w:ilvl w:val="0"/>
          <w:numId w:val="6"/>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Восстановление Человеческих Ресурсов:</w:t>
      </w:r>
      <w:r w:rsidRPr="003046A5">
        <w:rPr>
          <w:rFonts w:ascii="Calibri" w:eastAsia="Google Sans Text" w:hAnsi="Calibri" w:cs="Calibri"/>
          <w:color w:val="000000" w:themeColor="text1"/>
        </w:rPr>
        <w:t xml:space="preserve"> 35-летний мораторий создал глубокий разрыв в кадровой экспертизе. Вовлечение 20 учреждений должно сопровождаться экстренным набором и обучением преподавательского состава, а также активной программой по привлечению сербской ядерной диаспоры обратно в страну.</w:t>
      </w:r>
    </w:p>
    <w:p w14:paraId="05B3ABCC" w14:textId="77777777" w:rsidR="002A0A7D" w:rsidRPr="003046A5" w:rsidRDefault="00000000" w:rsidP="005A5792">
      <w:pPr>
        <w:numPr>
          <w:ilvl w:val="0"/>
          <w:numId w:val="6"/>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Регуляторная Готовность:</w:t>
      </w:r>
      <w:r w:rsidRPr="003046A5">
        <w:rPr>
          <w:rFonts w:ascii="Calibri" w:eastAsia="Google Sans Text" w:hAnsi="Calibri" w:cs="Calibri"/>
          <w:color w:val="000000" w:themeColor="text1"/>
        </w:rPr>
        <w:t xml:space="preserve"> Хотя политический запрет снят, создание полного регуляторного и лицензионного каркаса для SMR является сложной и длительной задачей. Директорату СРБАТОМ потребуется существенное укрепление потенциала и адаптация нормативов к международным и европейским стандартам, особенно учитывая уникальные требования к </w:t>
      </w:r>
      <w:r w:rsidRPr="003046A5">
        <w:rPr>
          <w:rFonts w:ascii="Calibri" w:eastAsia="Google Sans Text" w:hAnsi="Calibri" w:cs="Calibri"/>
          <w:color w:val="000000" w:themeColor="text1"/>
        </w:rPr>
        <w:lastRenderedPageBreak/>
        <w:t>безопасности и лицензированию модульных реакторов.</w:t>
      </w:r>
      <w:r w:rsidRPr="003046A5">
        <w:rPr>
          <w:rFonts w:ascii="Calibri" w:eastAsia="Google Sans Text" w:hAnsi="Calibri" w:cs="Calibri"/>
          <w:color w:val="000000" w:themeColor="text1"/>
          <w:sz w:val="24"/>
          <w:szCs w:val="24"/>
          <w:vertAlign w:val="superscript"/>
        </w:rPr>
        <w:t>5</w:t>
      </w:r>
    </w:p>
    <w:p w14:paraId="58D25FCA" w14:textId="77777777" w:rsidR="002A0A7D" w:rsidRPr="003046A5" w:rsidRDefault="00000000" w:rsidP="005A5792">
      <w:pPr>
        <w:numPr>
          <w:ilvl w:val="0"/>
          <w:numId w:val="6"/>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b/>
          <w:color w:val="000000" w:themeColor="text1"/>
        </w:rPr>
        <w:t>Общественное Принятие (Public Acceptance):</w:t>
      </w:r>
      <w:r w:rsidRPr="003046A5">
        <w:rPr>
          <w:rFonts w:ascii="Calibri" w:eastAsia="Google Sans Text" w:hAnsi="Calibri" w:cs="Calibri"/>
          <w:color w:val="000000" w:themeColor="text1"/>
        </w:rPr>
        <w:t xml:space="preserve"> МоВ обозначил лишь начало публичных дебатов.</w:t>
      </w:r>
      <w:r w:rsidRPr="003046A5">
        <w:rPr>
          <w:rFonts w:ascii="Calibri" w:eastAsia="Google Sans Text" w:hAnsi="Calibri" w:cs="Calibri"/>
          <w:color w:val="000000" w:themeColor="text1"/>
          <w:sz w:val="24"/>
          <w:szCs w:val="24"/>
          <w:vertAlign w:val="superscript"/>
        </w:rPr>
        <w:t>3</w:t>
      </w:r>
      <w:r w:rsidRPr="003046A5">
        <w:rPr>
          <w:rFonts w:ascii="Calibri" w:eastAsia="Google Sans Text" w:hAnsi="Calibri" w:cs="Calibri"/>
          <w:color w:val="000000" w:themeColor="text1"/>
        </w:rPr>
        <w:t xml:space="preserve"> После десятилетий запрета, вызванного историческими опасениями, правительство должно обеспечить высокий уровень прозрачности, активно используя научное сообщество (20 институтов) в качестве не политизированного, а экспертного голоса для информирования общественности о преимуществах и мерах безопасности.</w:t>
      </w:r>
      <w:r w:rsidRPr="003046A5">
        <w:rPr>
          <w:rFonts w:ascii="Calibri" w:eastAsia="Google Sans Text" w:hAnsi="Calibri" w:cs="Calibri"/>
          <w:color w:val="000000" w:themeColor="text1"/>
          <w:sz w:val="24"/>
          <w:szCs w:val="24"/>
          <w:vertAlign w:val="superscript"/>
        </w:rPr>
        <w:t>3</w:t>
      </w:r>
    </w:p>
    <w:p w14:paraId="4F97CBA5" w14:textId="77777777" w:rsidR="002A0A7D" w:rsidRPr="003046A5" w:rsidRDefault="00000000" w:rsidP="005A5792">
      <w:pPr>
        <w:pStyle w:val="3"/>
        <w:spacing w:before="0" w:after="120" w:line="275" w:lineRule="auto"/>
        <w:jc w:val="both"/>
        <w:rPr>
          <w:rFonts w:ascii="Calibri" w:eastAsia="Google Sans" w:hAnsi="Calibri" w:cs="Calibri"/>
          <w:color w:val="000000" w:themeColor="text1"/>
        </w:rPr>
      </w:pPr>
      <w:bookmarkStart w:id="17" w:name="_Toc210253853"/>
      <w:r w:rsidRPr="003046A5">
        <w:rPr>
          <w:rFonts w:ascii="Calibri" w:eastAsia="Google Sans" w:hAnsi="Calibri" w:cs="Calibri"/>
          <w:color w:val="000000" w:themeColor="text1"/>
        </w:rPr>
        <w:t>5.2. Комплексные Рекомендации по Укреплению НТП</w:t>
      </w:r>
      <w:bookmarkEnd w:id="17"/>
    </w:p>
    <w:p w14:paraId="101AEF8C" w14:textId="77777777" w:rsidR="002A0A7D" w:rsidRPr="003046A5" w:rsidRDefault="00000000" w:rsidP="005A5792">
      <w:pPr>
        <w:pBdr>
          <w:top w:val="nil"/>
          <w:left w:val="nil"/>
          <w:bottom w:val="nil"/>
          <w:right w:val="nil"/>
          <w:between w:val="nil"/>
        </w:pBdr>
        <w:spacing w:after="12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Для обеспечения устойчивости программы и достижения цели по созданию НТП, необходимо принять следующие меры:</w:t>
      </w:r>
    </w:p>
    <w:p w14:paraId="746481DB" w14:textId="77777777" w:rsidR="002A0A7D" w:rsidRPr="003046A5" w:rsidRDefault="00000000" w:rsidP="005A5792">
      <w:pPr>
        <w:numPr>
          <w:ilvl w:val="0"/>
          <w:numId w:val="7"/>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Целевое и Защищенное Финансирование:</w:t>
      </w:r>
      <w:r w:rsidRPr="003046A5">
        <w:rPr>
          <w:rFonts w:ascii="Calibri" w:eastAsia="Google Sans Text" w:hAnsi="Calibri" w:cs="Calibri"/>
          <w:color w:val="000000" w:themeColor="text1"/>
        </w:rPr>
        <w:t xml:space="preserve"> Государство должно обеспечить прямое, долгосрочное и защищенное финансирование 20 академических учреждений. Это финансирование должно быть направлено на создание специализированных кафедр ядерных технологий, модернизацию исследовательской инфраструктуры, релевантной SMR, и программу привлечения ведущих зарубежных ученых в качестве приглашенных профессоров (Visiting Professors).</w:t>
      </w:r>
    </w:p>
    <w:p w14:paraId="4ED6B102" w14:textId="77777777" w:rsidR="002A0A7D" w:rsidRPr="003046A5" w:rsidRDefault="00000000" w:rsidP="005A5792">
      <w:pPr>
        <w:numPr>
          <w:ilvl w:val="0"/>
          <w:numId w:val="7"/>
        </w:numPr>
        <w:pBdr>
          <w:top w:val="nil"/>
          <w:left w:val="nil"/>
          <w:bottom w:val="nil"/>
          <w:right w:val="nil"/>
          <w:between w:val="nil"/>
        </w:pBdr>
        <w:spacing w:line="275" w:lineRule="auto"/>
        <w:jc w:val="both"/>
        <w:rPr>
          <w:rFonts w:ascii="Calibri" w:hAnsi="Calibri" w:cs="Calibri"/>
          <w:color w:val="000000" w:themeColor="text1"/>
        </w:rPr>
      </w:pPr>
      <w:r w:rsidRPr="003046A5">
        <w:rPr>
          <w:rFonts w:ascii="Calibri" w:eastAsia="Google Sans Text" w:hAnsi="Calibri" w:cs="Calibri"/>
          <w:b/>
          <w:color w:val="000000" w:themeColor="text1"/>
        </w:rPr>
        <w:t>Углубленное Международное Техническое Сотрудничество:</w:t>
      </w:r>
      <w:r w:rsidRPr="003046A5">
        <w:rPr>
          <w:rFonts w:ascii="Calibri" w:eastAsia="Google Sans Text" w:hAnsi="Calibri" w:cs="Calibri"/>
          <w:color w:val="000000" w:themeColor="text1"/>
        </w:rPr>
        <w:t xml:space="preserve"> Помимо соглашений с технологическими поставщиками, необходимо углублять сотрудничество с МАГАТЭ, регулярно запрашивая миссии по обзору этапов (Milestones Review) для обеспечения структурированного и соответствующего стандартам развития инфраструктуры. Следует также развивать совместные программы с партнерами, такими как Южная Корея, где ядерная энергетика интегрируется с другими технологиями, например, с водородными.</w:t>
      </w:r>
      <w:r w:rsidRPr="003046A5">
        <w:rPr>
          <w:rFonts w:ascii="Calibri" w:eastAsia="Google Sans Text" w:hAnsi="Calibri" w:cs="Calibri"/>
          <w:color w:val="000000" w:themeColor="text1"/>
          <w:sz w:val="24"/>
          <w:szCs w:val="24"/>
          <w:vertAlign w:val="superscript"/>
        </w:rPr>
        <w:t>6</w:t>
      </w:r>
    </w:p>
    <w:p w14:paraId="1D517CB6" w14:textId="77777777" w:rsidR="002A0A7D" w:rsidRPr="003046A5" w:rsidRDefault="00000000" w:rsidP="005A5792">
      <w:pPr>
        <w:numPr>
          <w:ilvl w:val="0"/>
          <w:numId w:val="7"/>
        </w:numPr>
        <w:pBdr>
          <w:top w:val="nil"/>
          <w:left w:val="nil"/>
          <w:bottom w:val="nil"/>
          <w:right w:val="nil"/>
          <w:between w:val="nil"/>
        </w:pBdr>
        <w:spacing w:after="120" w:line="275" w:lineRule="auto"/>
        <w:jc w:val="both"/>
        <w:rPr>
          <w:rFonts w:ascii="Calibri" w:hAnsi="Calibri" w:cs="Calibri"/>
          <w:color w:val="000000" w:themeColor="text1"/>
        </w:rPr>
      </w:pPr>
      <w:r w:rsidRPr="003046A5">
        <w:rPr>
          <w:rFonts w:ascii="Calibri" w:eastAsia="Google Sans Text" w:hAnsi="Calibri" w:cs="Calibri"/>
          <w:b/>
          <w:color w:val="000000" w:themeColor="text1"/>
        </w:rPr>
        <w:t>Разработка Долгосрочного Кадрового Плана:</w:t>
      </w:r>
      <w:r w:rsidRPr="003046A5">
        <w:rPr>
          <w:rFonts w:ascii="Calibri" w:eastAsia="Google Sans Text" w:hAnsi="Calibri" w:cs="Calibri"/>
          <w:color w:val="000000" w:themeColor="text1"/>
        </w:rPr>
        <w:t xml:space="preserve"> Кадровая стратегия, разработанная 20 учреждениями, должна охватывать горизонт в 15–20 лет, обеспечивая подготовку не только инженеров и строителей, но и операторов, специалистов по ядерной безопасности и, в конечном итоге, экспертов по выводу из эксплуатации.</w:t>
      </w:r>
    </w:p>
    <w:p w14:paraId="18D7CD63" w14:textId="77777777" w:rsidR="002A0A7D" w:rsidRPr="003046A5" w:rsidRDefault="00000000" w:rsidP="005A5792">
      <w:pPr>
        <w:pStyle w:val="2"/>
        <w:spacing w:before="0" w:after="120" w:line="275" w:lineRule="auto"/>
        <w:jc w:val="both"/>
        <w:rPr>
          <w:rFonts w:ascii="Calibri" w:eastAsia="Google Sans" w:hAnsi="Calibri" w:cs="Calibri"/>
          <w:color w:val="000000" w:themeColor="text1"/>
        </w:rPr>
      </w:pPr>
      <w:bookmarkStart w:id="18" w:name="_Toc210253854"/>
      <w:r w:rsidRPr="003046A5">
        <w:rPr>
          <w:rFonts w:ascii="Calibri" w:eastAsia="Google Sans" w:hAnsi="Calibri" w:cs="Calibri"/>
          <w:color w:val="000000" w:themeColor="text1"/>
        </w:rPr>
        <w:t>Заключение</w:t>
      </w:r>
      <w:bookmarkEnd w:id="18"/>
    </w:p>
    <w:p w14:paraId="5099A218"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Подписание Меморандума о взаимопонимании в июле 2024 года с участием пяти министерств, 20 академических и научных институтов, а также государственных энергетических компаний представляет собой не просто декларацию о намерениях, но и формальный, институциональный переход Сербии к структурированной ядерной программе. Этот беспрецедентный масштаб сотрудничества является прямым свидетельством понимания правительством того, что возобновление ядерной энергетики — это, прежде всего, проект по созданию национального научно-технического потенциала (НТП) и регуляторной инфраструктуры, а не только строительный проект.</w:t>
      </w:r>
    </w:p>
    <w:p w14:paraId="30EC50D4" w14:textId="77777777" w:rsidR="002A0A7D" w:rsidRPr="003046A5" w:rsidRDefault="00000000" w:rsidP="005A5792">
      <w:pPr>
        <w:pBdr>
          <w:top w:val="nil"/>
          <w:left w:val="nil"/>
          <w:bottom w:val="nil"/>
          <w:right w:val="nil"/>
          <w:between w:val="nil"/>
        </w:pBdr>
        <w:spacing w:after="240"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t>Стратегическое решение о привлечении 20 научных центров в самом начале процесса служит двойной цели: (1) обеспечить легитимность программы за счет научно обоснованных решений, тем самым деполитизируя процесс, и (2) создать необходимый кадровый резерв, чтобы преодолеть 35-летний разрыв в экспертизе.</w:t>
      </w:r>
    </w:p>
    <w:p w14:paraId="74E5B43F" w14:textId="77777777" w:rsidR="002A0A7D" w:rsidRPr="003046A5" w:rsidRDefault="00000000" w:rsidP="005A5792">
      <w:pPr>
        <w:pBdr>
          <w:top w:val="nil"/>
          <w:left w:val="nil"/>
          <w:bottom w:val="nil"/>
          <w:right w:val="nil"/>
          <w:between w:val="nil"/>
        </w:pBdr>
        <w:spacing w:after="255" w:line="275" w:lineRule="auto"/>
        <w:jc w:val="both"/>
        <w:rPr>
          <w:rFonts w:ascii="Calibri" w:eastAsia="Google Sans Text" w:hAnsi="Calibri" w:cs="Calibri"/>
          <w:color w:val="000000" w:themeColor="text1"/>
        </w:rPr>
      </w:pPr>
      <w:r w:rsidRPr="003046A5">
        <w:rPr>
          <w:rFonts w:ascii="Calibri" w:eastAsia="Google Sans Text" w:hAnsi="Calibri" w:cs="Calibri"/>
          <w:color w:val="000000" w:themeColor="text1"/>
        </w:rPr>
        <w:lastRenderedPageBreak/>
        <w:t>Создание специализированного Координационного Органа, мандат которого привязан к руководящим принципам МАГАТЭ, а также заказ предварительного технического исследования у международных экспертов (EDF/Egis), демонстрирует приверженность Сербии структурированному подходу. МоВ служит основополагающим актом, консолидирующим национальные ресурсы и позволяющим Сербии двигаться вперед в соответствии с методологией МАГАТЭ. Успех программы теперь зависит от способности СКО эффективно координировать эту обширную сеть участников и обеспечивать долгосрочное, защищенное финансирование для восстановления и развития НТП.</w:t>
      </w:r>
    </w:p>
    <w:p w14:paraId="2B40CFEC" w14:textId="77777777" w:rsidR="002A0A7D" w:rsidRPr="003046A5" w:rsidRDefault="00000000" w:rsidP="00102B6D">
      <w:pPr>
        <w:pStyle w:val="2"/>
        <w:rPr>
          <w:color w:val="000000" w:themeColor="text1"/>
        </w:rPr>
      </w:pPr>
      <w:bookmarkStart w:id="19" w:name="_Toc210253855"/>
      <w:r w:rsidRPr="003046A5">
        <w:rPr>
          <w:color w:val="000000" w:themeColor="text1"/>
        </w:rPr>
        <w:t>Источники</w:t>
      </w:r>
      <w:bookmarkEnd w:id="19"/>
    </w:p>
    <w:p w14:paraId="70754DF3"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Serbia plans for future with nuclear energy - World Nuclear News, дата последнего обращения: сентября 30, 2025, </w:t>
      </w:r>
      <w:hyperlink r:id="rId8">
        <w:r w:rsidR="002A0A7D" w:rsidRPr="003046A5">
          <w:rPr>
            <w:rFonts w:ascii="Calibri" w:eastAsia="Google Sans" w:hAnsi="Calibri" w:cs="Calibri"/>
            <w:color w:val="000000" w:themeColor="text1"/>
            <w:sz w:val="24"/>
            <w:szCs w:val="24"/>
            <w:u w:val="single"/>
          </w:rPr>
          <w:t>https://www.world-nuclear-news.org/articles/serbia-plans-for-future-with-nuclear-energy</w:t>
        </w:r>
      </w:hyperlink>
    </w:p>
    <w:p w14:paraId="5F3C4C7A"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Nuklearni iskorak Srbije: Usvojen Memorandum o razumevanju u oblasti primene razvoja nuklearne energije - Vreme, дата последнего обращения: сентября 30, 2025, </w:t>
      </w:r>
      <w:hyperlink r:id="rId9">
        <w:r w:rsidR="002A0A7D" w:rsidRPr="003046A5">
          <w:rPr>
            <w:rFonts w:ascii="Calibri" w:eastAsia="Google Sans" w:hAnsi="Calibri" w:cs="Calibri"/>
            <w:color w:val="000000" w:themeColor="text1"/>
            <w:sz w:val="24"/>
            <w:szCs w:val="24"/>
            <w:u w:val="single"/>
          </w:rPr>
          <w:t>https://vreme.com/vesti/nuklearni-iskorak-srbije-usvojen-memorandum-o-razumevanju-u-oblasti-primene-razvoja-nuklearne-energije/</w:t>
        </w:r>
      </w:hyperlink>
    </w:p>
    <w:p w14:paraId="274EBF0F"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Serbian government forges nuclear energy alliance with 20 scientific institutions, firms, дата последнего обращения: сентября 30, 2025, </w:t>
      </w:r>
      <w:hyperlink r:id="rId10">
        <w:r w:rsidR="002A0A7D" w:rsidRPr="003046A5">
          <w:rPr>
            <w:rFonts w:ascii="Calibri" w:eastAsia="Google Sans" w:hAnsi="Calibri" w:cs="Calibri"/>
            <w:color w:val="000000" w:themeColor="text1"/>
            <w:sz w:val="24"/>
            <w:szCs w:val="24"/>
            <w:u w:val="single"/>
          </w:rPr>
          <w:t>https://balkangreenenergynews.com/serbian-government-forges-nuclear-energy-alliance-with-20-scientific-institutions-firms/</w:t>
        </w:r>
      </w:hyperlink>
    </w:p>
    <w:p w14:paraId="13047B04"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Serbia gathers experts to establish nuclear energy programme, дата последнего обращения: сентября 30, 2025, </w:t>
      </w:r>
      <w:hyperlink r:id="rId11">
        <w:r w:rsidR="002A0A7D" w:rsidRPr="003046A5">
          <w:rPr>
            <w:rFonts w:ascii="Calibri" w:eastAsia="Google Sans" w:hAnsi="Calibri" w:cs="Calibri"/>
            <w:color w:val="000000" w:themeColor="text1"/>
            <w:sz w:val="24"/>
            <w:szCs w:val="24"/>
            <w:u w:val="single"/>
          </w:rPr>
          <w:t>https://www.world-nuclear-news.org/articles/serbia-gathers-experts-to-establish-nuclear-energy</w:t>
        </w:r>
      </w:hyperlink>
    </w:p>
    <w:p w14:paraId="2DF016C1"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Expansion of cooperation between Serbia and International Atomic Energy Agency, дата последнего обращения: сентября 30, 2025, </w:t>
      </w:r>
      <w:hyperlink r:id="rId12">
        <w:r w:rsidR="002A0A7D" w:rsidRPr="003046A5">
          <w:rPr>
            <w:rFonts w:ascii="Calibri" w:eastAsia="Google Sans" w:hAnsi="Calibri" w:cs="Calibri"/>
            <w:color w:val="000000" w:themeColor="text1"/>
            <w:sz w:val="24"/>
            <w:szCs w:val="24"/>
            <w:u w:val="single"/>
          </w:rPr>
          <w:t>https://www.srbatom.gov.rs/srbatomm/expansion-of-cooperation-between-serbia-and-international-atomic-energy-agency/?lang=en</w:t>
        </w:r>
      </w:hyperlink>
    </w:p>
    <w:p w14:paraId="6EA5BCD5"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KHNP, Serbia ink nuclear &amp; hydrogen deals, дата последнего обращения: сентября 30, 2025, </w:t>
      </w:r>
      <w:hyperlink r:id="rId13">
        <w:r w:rsidR="002A0A7D" w:rsidRPr="003046A5">
          <w:rPr>
            <w:rFonts w:ascii="Calibri" w:eastAsia="Google Sans" w:hAnsi="Calibri" w:cs="Calibri"/>
            <w:color w:val="000000" w:themeColor="text1"/>
            <w:sz w:val="24"/>
            <w:szCs w:val="24"/>
            <w:u w:val="single"/>
          </w:rPr>
          <w:t>https://www.neimagazine.com/news/khnp-serbia-ink-nuclear-hydrogen-deals/</w:t>
        </w:r>
      </w:hyperlink>
    </w:p>
    <w:p w14:paraId="674A2599"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Serbia / Ministries Sign Agreements As Belgrade Kicks Off Discussion On Nuclear Power, дата последнего обращения: сентября 30, 2025, </w:t>
      </w:r>
      <w:hyperlink r:id="rId14">
        <w:r w:rsidR="002A0A7D" w:rsidRPr="003046A5">
          <w:rPr>
            <w:rFonts w:ascii="Calibri" w:eastAsia="Google Sans" w:hAnsi="Calibri" w:cs="Calibri"/>
            <w:color w:val="000000" w:themeColor="text1"/>
            <w:sz w:val="24"/>
            <w:szCs w:val="24"/>
            <w:u w:val="single"/>
          </w:rPr>
          <w:t>https://www.nucnet.org/news/ministries-sign-agreements-as-belgrade-kicks-off-discussion-on-nuclear-power-7-4-2024</w:t>
        </w:r>
      </w:hyperlink>
    </w:p>
    <w:p w14:paraId="22913FEA"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Vlada Srbije sa 20 fakulteta, instituta i energetskih firmi potpisala ..., дата последнего обращения: сентября 30, 2025, </w:t>
      </w:r>
      <w:hyperlink r:id="rId15">
        <w:r w:rsidR="002A0A7D" w:rsidRPr="003046A5">
          <w:rPr>
            <w:rFonts w:ascii="Calibri" w:eastAsia="Google Sans" w:hAnsi="Calibri" w:cs="Calibri"/>
            <w:color w:val="000000" w:themeColor="text1"/>
            <w:sz w:val="24"/>
            <w:szCs w:val="24"/>
            <w:u w:val="single"/>
          </w:rPr>
          <w:t>https://balkangreenenergynews.com/rs/vlada-srbije-sa-20-fakulteta-instituta-i-energetskih-firmi-potpisala-memorandum-o-razvoju-nuklearne-energije/</w:t>
        </w:r>
      </w:hyperlink>
    </w:p>
    <w:p w14:paraId="394DCBF9"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Role of the Vinča Institute in nuclear engineering and radiation protection education - INIS-IAEA, дата последнего обращения: сентября 30, 2025, </w:t>
      </w:r>
      <w:hyperlink r:id="rId16">
        <w:r w:rsidR="002A0A7D" w:rsidRPr="003046A5">
          <w:rPr>
            <w:rFonts w:ascii="Calibri" w:eastAsia="Google Sans" w:hAnsi="Calibri" w:cs="Calibri"/>
            <w:color w:val="000000" w:themeColor="text1"/>
            <w:sz w:val="24"/>
            <w:szCs w:val="24"/>
            <w:u w:val="single"/>
          </w:rPr>
          <w:t>https://inis.iaea.org/collection/NCLCollectionStore/_Public/39/015/39015149.pdf</w:t>
        </w:r>
      </w:hyperlink>
    </w:p>
    <w:p w14:paraId="7896F2BC"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Djedović Handanović: Preliminary Technical Study on the Peaceful Application of Nuclear </w:t>
      </w:r>
      <w:r w:rsidRPr="003046A5">
        <w:rPr>
          <w:rFonts w:ascii="Calibri" w:eastAsia="Google Sans" w:hAnsi="Calibri" w:cs="Calibri"/>
          <w:color w:val="000000" w:themeColor="text1"/>
          <w:sz w:val="24"/>
          <w:szCs w:val="24"/>
        </w:rPr>
        <w:lastRenderedPageBreak/>
        <w:t xml:space="preserve">Energy in Serbia Completed, дата последнего обращения: сентября 30, 2025, </w:t>
      </w:r>
      <w:hyperlink r:id="rId17">
        <w:r w:rsidR="002A0A7D" w:rsidRPr="003046A5">
          <w:rPr>
            <w:rFonts w:ascii="Calibri" w:eastAsia="Google Sans" w:hAnsi="Calibri" w:cs="Calibri"/>
            <w:color w:val="000000" w:themeColor="text1"/>
            <w:sz w:val="24"/>
            <w:szCs w:val="24"/>
            <w:u w:val="single"/>
          </w:rPr>
          <w:t>https://www.mre.gov.rs/vest/en/900/djedovic-handanovic-preliminary-technical-study-on-the-peaceful-application-of-nuclear-energy-in-serbia-completed.php</w:t>
        </w:r>
      </w:hyperlink>
    </w:p>
    <w:p w14:paraId="51EB09FC"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Srbatom, дата последнего обращения: сентября 30, 2025, </w:t>
      </w:r>
      <w:hyperlink r:id="rId18">
        <w:r w:rsidR="002A0A7D" w:rsidRPr="003046A5">
          <w:rPr>
            <w:rFonts w:ascii="Calibri" w:eastAsia="Google Sans" w:hAnsi="Calibri" w:cs="Calibri"/>
            <w:color w:val="000000" w:themeColor="text1"/>
            <w:sz w:val="24"/>
            <w:szCs w:val="24"/>
            <w:u w:val="single"/>
          </w:rPr>
          <w:t>https://www.srbatom.gov.rs/srbatomm/</w:t>
        </w:r>
      </w:hyperlink>
    </w:p>
    <w:p w14:paraId="40EAF3C5" w14:textId="77777777" w:rsidR="002A0A7D" w:rsidRPr="003046A5" w:rsidRDefault="00000000" w:rsidP="005A5792">
      <w:pPr>
        <w:numPr>
          <w:ilvl w:val="0"/>
          <w:numId w:val="8"/>
        </w:numPr>
        <w:pBdr>
          <w:top w:val="nil"/>
          <w:left w:val="nil"/>
          <w:bottom w:val="nil"/>
          <w:right w:val="nil"/>
          <w:between w:val="nil"/>
        </w:pBdr>
        <w:jc w:val="both"/>
        <w:rPr>
          <w:rFonts w:ascii="Calibri" w:hAnsi="Calibri" w:cs="Calibri"/>
          <w:color w:val="000000" w:themeColor="text1"/>
        </w:rPr>
      </w:pPr>
      <w:r w:rsidRPr="003046A5">
        <w:rPr>
          <w:rFonts w:ascii="Calibri" w:eastAsia="Google Sans" w:hAnsi="Calibri" w:cs="Calibri"/>
          <w:color w:val="000000" w:themeColor="text1"/>
          <w:sz w:val="24"/>
          <w:szCs w:val="24"/>
        </w:rPr>
        <w:t xml:space="preserve">EDF study outlines path for Serbia's nuclear energy development - ceenergynews, дата последнего обращения: сентября 30, 2025, </w:t>
      </w:r>
      <w:hyperlink r:id="rId19">
        <w:r w:rsidR="002A0A7D" w:rsidRPr="003046A5">
          <w:rPr>
            <w:rFonts w:ascii="Calibri" w:eastAsia="Google Sans" w:hAnsi="Calibri" w:cs="Calibri"/>
            <w:color w:val="000000" w:themeColor="text1"/>
            <w:sz w:val="24"/>
            <w:szCs w:val="24"/>
            <w:u w:val="single"/>
          </w:rPr>
          <w:t>https://ceenergynews.com/nuclear/edf-study-outlines-path-for-serbias-nuclear-energy-development/</w:t>
        </w:r>
      </w:hyperlink>
    </w:p>
    <w:p w14:paraId="37D1C9D4" w14:textId="77777777" w:rsidR="003046A5" w:rsidRPr="003046A5" w:rsidRDefault="003046A5">
      <w:pPr>
        <w:numPr>
          <w:ilvl w:val="0"/>
          <w:numId w:val="8"/>
        </w:numPr>
        <w:pBdr>
          <w:top w:val="nil"/>
          <w:left w:val="nil"/>
          <w:bottom w:val="nil"/>
          <w:right w:val="nil"/>
          <w:between w:val="nil"/>
        </w:pBdr>
        <w:jc w:val="both"/>
        <w:rPr>
          <w:rFonts w:ascii="Calibri" w:hAnsi="Calibri" w:cs="Calibri"/>
          <w:color w:val="000000" w:themeColor="text1"/>
        </w:rPr>
      </w:pPr>
    </w:p>
    <w:sectPr w:rsidR="003046A5" w:rsidRPr="003046A5">
      <w:footerReference w:type="even" r:id="rId20"/>
      <w:footerReference w:type="default" r:id="rId2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E7A42" w14:textId="77777777" w:rsidR="00537AB7" w:rsidRDefault="00537AB7" w:rsidP="00815D3A">
      <w:r>
        <w:separator/>
      </w:r>
    </w:p>
  </w:endnote>
  <w:endnote w:type="continuationSeparator" w:id="0">
    <w:p w14:paraId="3A8E7169" w14:textId="77777777" w:rsidR="00537AB7" w:rsidRDefault="00537AB7" w:rsidP="0081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D9D3B4E-907C-1040-B7FE-8530B5B895B5}"/>
    <w:embedBold r:id="rId2" w:fontKey="{8A07D008-B0E0-3F4F-806F-633316CA0C0E}"/>
  </w:font>
  <w:font w:name="Times New Roman">
    <w:panose1 w:val="02020603050405020304"/>
    <w:charset w:val="00"/>
    <w:family w:val="roman"/>
    <w:pitch w:val="variable"/>
    <w:sig w:usb0="E0002EFF" w:usb1="C000785B" w:usb2="00000009" w:usb3="00000000" w:csb0="000001FF" w:csb1="00000000"/>
    <w:embedRegular r:id="rId3" w:fontKey="{51A1577D-E5EC-D244-A351-10D27169201A}"/>
  </w:font>
  <w:font w:name="Georgia">
    <w:panose1 w:val="02040502050405020303"/>
    <w:charset w:val="00"/>
    <w:family w:val="roman"/>
    <w:pitch w:val="variable"/>
    <w:sig w:usb0="00000287" w:usb1="00000000" w:usb2="00000000" w:usb3="00000000" w:csb0="0000009F" w:csb1="00000000"/>
    <w:embedRegular r:id="rId4" w:fontKey="{933E9323-B59C-7749-AC71-864ED898734E}"/>
    <w:embedItalic r:id="rId5" w:fontKey="{632073C3-422E-FA43-BC54-EC0B2B7CB322}"/>
  </w:font>
  <w:font w:name="Calibri">
    <w:panose1 w:val="020F0502020204030204"/>
    <w:charset w:val="00"/>
    <w:family w:val="swiss"/>
    <w:pitch w:val="variable"/>
    <w:sig w:usb0="E4002EFF" w:usb1="C200247B" w:usb2="00000009" w:usb3="00000000" w:csb0="000001FF" w:csb1="00000000"/>
    <w:embedRegular r:id="rId6" w:fontKey="{220E9078-4168-714B-B4CA-D31240FD4C7C}"/>
    <w:embedBold r:id="rId7" w:fontKey="{E4E34302-9284-9B40-95AF-EBA94B07330F}"/>
  </w:font>
  <w:font w:name="Google Sans">
    <w:altName w:val="Calibri"/>
    <w:panose1 w:val="020B0604020202020204"/>
    <w:charset w:val="00"/>
    <w:family w:val="auto"/>
    <w:pitch w:val="default"/>
    <w:embedRegular r:id="rId8" w:fontKey="{D0FA8DD3-A968-0B4B-9140-29258E1F1720}"/>
    <w:embedBold r:id="rId9" w:fontKey="{62B937B0-B7E6-1C41-8E72-6A38E421A74D}"/>
  </w:font>
  <w:font w:name="Cambria">
    <w:panose1 w:val="02040503050406030204"/>
    <w:charset w:val="00"/>
    <w:family w:val="roman"/>
    <w:pitch w:val="variable"/>
    <w:sig w:usb0="E00006FF" w:usb1="420024FF" w:usb2="02000000" w:usb3="00000000" w:csb0="0000019F" w:csb1="00000000"/>
    <w:embedRegular r:id="rId10" w:fontKey="{EE69B821-524B-5842-B1B3-A4086187BD06}"/>
  </w:font>
  <w:font w:name="Google Sans Text">
    <w:altName w:val="Calibri"/>
    <w:panose1 w:val="020B0604020202020204"/>
    <w:charset w:val="00"/>
    <w:family w:val="auto"/>
    <w:pitch w:val="default"/>
    <w:embedBold r:id="rId12" w:fontKey="{833F2D4D-9B31-9440-B2AD-683453808358}"/>
  </w:font>
  <w:font w:name="Calibri Light">
    <w:panose1 w:val="020F0302020204030204"/>
    <w:charset w:val="00"/>
    <w:family w:val="swiss"/>
    <w:pitch w:val="variable"/>
    <w:sig w:usb0="E0002AFF" w:usb1="C000247B" w:usb2="00000009" w:usb3="00000000" w:csb0="000001FF" w:csb1="00000000"/>
    <w:embedRegular r:id="rId13" w:fontKey="{17D9518E-B7E4-9E45-A42E-EDA5805C84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2084646942"/>
      <w:docPartObj>
        <w:docPartGallery w:val="Page Numbers (Bottom of Page)"/>
        <w:docPartUnique/>
      </w:docPartObj>
    </w:sdtPr>
    <w:sdtContent>
      <w:p w14:paraId="553EB763" w14:textId="5547CA1A" w:rsidR="003046A5" w:rsidRDefault="003046A5" w:rsidP="003D1BE1">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2231CF42" w14:textId="77777777" w:rsidR="003046A5" w:rsidRDefault="003046A5" w:rsidP="003046A5">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888690315"/>
      <w:docPartObj>
        <w:docPartGallery w:val="Page Numbers (Bottom of Page)"/>
        <w:docPartUnique/>
      </w:docPartObj>
    </w:sdtPr>
    <w:sdtContent>
      <w:p w14:paraId="20B4D1DD" w14:textId="629C7629" w:rsidR="003046A5" w:rsidRDefault="003046A5" w:rsidP="003D1BE1">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3DBEAF19" w14:textId="77777777" w:rsidR="00815D3A" w:rsidRPr="00177B08" w:rsidRDefault="00815D3A" w:rsidP="00815D3A">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3C562194" w14:textId="1C3809D7" w:rsidR="00815D3A" w:rsidRPr="00102B6D" w:rsidRDefault="00815D3A" w:rsidP="00815D3A">
    <w:pPr>
      <w:pStyle w:val="a9"/>
      <w:ind w:right="360"/>
      <w:rPr>
        <w:lang w:val="en-US"/>
      </w:rPr>
    </w:pPr>
    <w:r w:rsidRPr="00177B08">
      <w:rPr>
        <w:rFonts w:ascii="Calibri Light" w:eastAsia="Times New Roman" w:hAnsi="Calibri Light" w:cs="Calibri Light"/>
        <w:sz w:val="16"/>
        <w:szCs w:val="16"/>
        <w:lang w:val="en-US"/>
      </w:rPr>
      <w:t xml:space="preserve">© Copyright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xml:space="preserve"> </w:t>
    </w:r>
    <w:r w:rsidRPr="00815D3A">
      <w:rPr>
        <w:rFonts w:ascii="Calibri Light" w:eastAsia="Times New Roman" w:hAnsi="Calibri Light" w:cs="Calibri Light"/>
        <w:sz w:val="16"/>
        <w:szCs w:val="16"/>
        <w:lang w:val="en-US"/>
      </w:rPr>
      <w:t>CONSULTING BUREAU BEOGRAD</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C25E" w14:textId="77777777" w:rsidR="00537AB7" w:rsidRDefault="00537AB7" w:rsidP="00815D3A">
      <w:r>
        <w:separator/>
      </w:r>
    </w:p>
  </w:footnote>
  <w:footnote w:type="continuationSeparator" w:id="0">
    <w:p w14:paraId="01BC2F37" w14:textId="77777777" w:rsidR="00537AB7" w:rsidRDefault="00537AB7" w:rsidP="00815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83D"/>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9471B3C"/>
    <w:multiLevelType w:val="multilevel"/>
    <w:tmpl w:val="09F68B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5C14924"/>
    <w:multiLevelType w:val="multilevel"/>
    <w:tmpl w:val="723251D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F9D76A2"/>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0F92D6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6EA341A"/>
    <w:multiLevelType w:val="multilevel"/>
    <w:tmpl w:val="2DFA59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7C75596"/>
    <w:multiLevelType w:val="multilevel"/>
    <w:tmpl w:val="552E297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50447C15"/>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990014861">
    <w:abstractNumId w:val="5"/>
  </w:num>
  <w:num w:numId="2" w16cid:durableId="1838765055">
    <w:abstractNumId w:val="0"/>
  </w:num>
  <w:num w:numId="3" w16cid:durableId="1747261183">
    <w:abstractNumId w:val="6"/>
  </w:num>
  <w:num w:numId="4" w16cid:durableId="1521821172">
    <w:abstractNumId w:val="4"/>
  </w:num>
  <w:num w:numId="5" w16cid:durableId="685210848">
    <w:abstractNumId w:val="3"/>
  </w:num>
  <w:num w:numId="6" w16cid:durableId="1267693325">
    <w:abstractNumId w:val="1"/>
  </w:num>
  <w:num w:numId="7" w16cid:durableId="289556209">
    <w:abstractNumId w:val="7"/>
  </w:num>
  <w:num w:numId="8" w16cid:durableId="1538932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7D"/>
    <w:rsid w:val="00102B6D"/>
    <w:rsid w:val="00196640"/>
    <w:rsid w:val="002A0A7D"/>
    <w:rsid w:val="003046A5"/>
    <w:rsid w:val="00537AB7"/>
    <w:rsid w:val="005A5792"/>
    <w:rsid w:val="00603180"/>
    <w:rsid w:val="006065EF"/>
    <w:rsid w:val="00660968"/>
    <w:rsid w:val="006808E2"/>
    <w:rsid w:val="006B7055"/>
    <w:rsid w:val="00815D3A"/>
    <w:rsid w:val="00980BB0"/>
    <w:rsid w:val="00A155BF"/>
    <w:rsid w:val="00DD4EE1"/>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68D02420"/>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815D3A"/>
    <w:pPr>
      <w:tabs>
        <w:tab w:val="center" w:pos="4513"/>
        <w:tab w:val="right" w:pos="9026"/>
      </w:tabs>
    </w:pPr>
  </w:style>
  <w:style w:type="character" w:customStyle="1" w:styleId="a8">
    <w:name w:val="Верхний колонтитул Знак"/>
    <w:basedOn w:val="a0"/>
    <w:link w:val="a7"/>
    <w:uiPriority w:val="99"/>
    <w:rsid w:val="00815D3A"/>
  </w:style>
  <w:style w:type="paragraph" w:styleId="a9">
    <w:name w:val="footer"/>
    <w:basedOn w:val="a"/>
    <w:link w:val="aa"/>
    <w:uiPriority w:val="99"/>
    <w:unhideWhenUsed/>
    <w:rsid w:val="00815D3A"/>
    <w:pPr>
      <w:tabs>
        <w:tab w:val="center" w:pos="4513"/>
        <w:tab w:val="right" w:pos="9026"/>
      </w:tabs>
    </w:pPr>
  </w:style>
  <w:style w:type="character" w:customStyle="1" w:styleId="aa">
    <w:name w:val="Нижний колонтитул Знак"/>
    <w:basedOn w:val="a0"/>
    <w:link w:val="a9"/>
    <w:uiPriority w:val="99"/>
    <w:rsid w:val="00815D3A"/>
  </w:style>
  <w:style w:type="paragraph" w:styleId="10">
    <w:name w:val="toc 1"/>
    <w:basedOn w:val="a"/>
    <w:next w:val="a"/>
    <w:autoRedefine/>
    <w:uiPriority w:val="39"/>
    <w:unhideWhenUsed/>
    <w:rsid w:val="00815D3A"/>
    <w:pPr>
      <w:spacing w:after="100"/>
    </w:pPr>
  </w:style>
  <w:style w:type="paragraph" w:styleId="20">
    <w:name w:val="toc 2"/>
    <w:basedOn w:val="a"/>
    <w:next w:val="a"/>
    <w:autoRedefine/>
    <w:uiPriority w:val="39"/>
    <w:unhideWhenUsed/>
    <w:rsid w:val="00815D3A"/>
    <w:pPr>
      <w:spacing w:after="100"/>
      <w:ind w:left="220"/>
    </w:pPr>
  </w:style>
  <w:style w:type="paragraph" w:styleId="30">
    <w:name w:val="toc 3"/>
    <w:basedOn w:val="a"/>
    <w:next w:val="a"/>
    <w:autoRedefine/>
    <w:uiPriority w:val="39"/>
    <w:unhideWhenUsed/>
    <w:rsid w:val="00815D3A"/>
    <w:pPr>
      <w:spacing w:after="100"/>
      <w:ind w:left="440"/>
    </w:pPr>
  </w:style>
  <w:style w:type="character" w:styleId="ab">
    <w:name w:val="Hyperlink"/>
    <w:basedOn w:val="a0"/>
    <w:uiPriority w:val="99"/>
    <w:unhideWhenUsed/>
    <w:rsid w:val="00815D3A"/>
    <w:rPr>
      <w:color w:val="0000FF" w:themeColor="hyperlink"/>
      <w:u w:val="single"/>
    </w:rPr>
  </w:style>
  <w:style w:type="character" w:styleId="ac">
    <w:name w:val="page number"/>
    <w:basedOn w:val="a0"/>
    <w:uiPriority w:val="99"/>
    <w:semiHidden/>
    <w:unhideWhenUsed/>
    <w:rsid w:val="00304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orld-nuclear-news.org/articles/serbia-plans-for-future-with-nuclear-energy" TargetMode="External"/><Relationship Id="rId13" Type="http://schemas.openxmlformats.org/officeDocument/2006/relationships/hyperlink" Target="https://www.neimagazine.com/news/khnp-serbia-ink-nuclear-hydrogen-deals/" TargetMode="External"/><Relationship Id="rId18" Type="http://schemas.openxmlformats.org/officeDocument/2006/relationships/hyperlink" Target="https://www.srbatom.gov.rs/srbatom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https://www.srbatom.gov.rs/srbatomm/expansion-of-cooperation-between-serbia-and-international-atomic-energy-agency/?lang=en" TargetMode="External"/><Relationship Id="rId17" Type="http://schemas.openxmlformats.org/officeDocument/2006/relationships/hyperlink" Target="https://www.mre.gov.rs/vest/en/900/djedovic-handanovic-preliminary-technical-study-on-the-peaceful-application-of-nuclear-energy-in-serbia-completed.php" TargetMode="External"/><Relationship Id="rId2" Type="http://schemas.openxmlformats.org/officeDocument/2006/relationships/styles" Target="styles.xml"/><Relationship Id="rId16" Type="http://schemas.openxmlformats.org/officeDocument/2006/relationships/hyperlink" Target="https://inis.iaea.org/collection/NCLCollectionStore/_Public/39/015/39015149.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ld-nuclear-news.org/articles/serbia-gathers-experts-to-establish-nuclear-energy" TargetMode="External"/><Relationship Id="rId5" Type="http://schemas.openxmlformats.org/officeDocument/2006/relationships/footnotes" Target="footnotes.xml"/><Relationship Id="rId15" Type="http://schemas.openxmlformats.org/officeDocument/2006/relationships/hyperlink" Target="https://balkangreenenergynews.com/rs/vlada-srbije-sa-20-fakulteta-instituta-i-energetskih-firmi-potpisala-memorandum-o-razvoju-nuklearne-energije/" TargetMode="External"/><Relationship Id="rId23" Type="http://schemas.openxmlformats.org/officeDocument/2006/relationships/theme" Target="theme/theme1.xml"/><Relationship Id="rId10" Type="http://schemas.openxmlformats.org/officeDocument/2006/relationships/hyperlink" Target="https://balkangreenenergynews.com/serbian-government-forges-nuclear-energy-alliance-with-20-scientific-institutions-firms/" TargetMode="External"/><Relationship Id="rId19" Type="http://schemas.openxmlformats.org/officeDocument/2006/relationships/hyperlink" Target="https://ceenergynews.com/nuclear/edf-study-outlines-path-for-serbias-nuclear-energy-development/" TargetMode="External"/><Relationship Id="rId4" Type="http://schemas.openxmlformats.org/officeDocument/2006/relationships/webSettings" Target="webSettings.xml"/><Relationship Id="rId9" Type="http://schemas.openxmlformats.org/officeDocument/2006/relationships/hyperlink" Target="https://vreme.com/vesti/nuklearni-iskorak-srbije-usvojen-memorandum-o-razumevanju-u-oblasti-primene-razvoja-nuklearne-energije/" TargetMode="External"/><Relationship Id="rId14" Type="http://schemas.openxmlformats.org/officeDocument/2006/relationships/hyperlink" Target="https://www.nucnet.org/news/ministries-sign-agreements-as-belgrade-kicks-off-discussion-on-nuclear-power-7-4-2024"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4203</Words>
  <Characters>23959</Characters>
  <Application>Microsoft Office Word</Application>
  <DocSecurity>0</DocSecurity>
  <Lines>199</Lines>
  <Paragraphs>56</Paragraphs>
  <ScaleCrop>false</ScaleCrop>
  <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5</cp:revision>
  <cp:lastPrinted>2025-10-02T13:48:00Z</cp:lastPrinted>
  <dcterms:created xsi:type="dcterms:W3CDTF">2025-10-02T13:48:00Z</dcterms:created>
  <dcterms:modified xsi:type="dcterms:W3CDTF">2025-10-22T03:44:00Z</dcterms:modified>
</cp:coreProperties>
</file>