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D0CD2" w14:textId="77777777" w:rsidR="00C0063B" w:rsidRDefault="00C0063B">
      <w:pPr>
        <w:pStyle w:val="3"/>
        <w:spacing w:before="0" w:after="120" w:line="275" w:lineRule="auto"/>
        <w:rPr>
          <w:rFonts w:ascii="Google Sans" w:eastAsia="Google Sans" w:hAnsi="Google Sans" w:cs="Google Sans"/>
          <w:color w:val="1B1C1D"/>
          <w:lang w:val="ru-RU"/>
        </w:rPr>
      </w:pPr>
    </w:p>
    <w:p w14:paraId="5657F528" w14:textId="2A1D11B5" w:rsidR="00EF2137" w:rsidRDefault="00000000">
      <w:pPr xmlns:w="http://schemas.openxmlformats.org/wordprocessingml/2006/main">
        <w:pStyle w:val="3"/>
        <w:spacing w:before="0" w:after="120" w:line="275" w:lineRule="auto"/>
        <w:rPr>
          <w:rFonts w:ascii="Google Sans" w:eastAsia="Google Sans" w:hAnsi="Google Sans" w:cs="Google Sans"/>
          <w:color w:val="1B1C1D"/>
        </w:rPr>
      </w:pPr>
      <w:r xmlns:w="http://schemas.openxmlformats.org/wordprocessingml/2006/main">
        <w:rPr>
          <w:rFonts w:ascii="Google Sans" w:eastAsia="Google Sans" w:hAnsi="Google Sans" w:cs="Google Sans"/>
          <w:color w:val="1B1C1D"/>
        </w:rPr>
        <w:t xml:space="preserve">Summary Table of Participants in the Serbian Nuclear Program (as of 2024–2025)</w:t>
      </w:r>
    </w:p>
    <w:p w14:paraId="0764D301" w14:textId="77777777" w:rsidR="00EF2137" w:rsidRDefault="00EF2137">
      <w:pPr>
        <w:pBdr>
          <w:top w:val="nil"/>
          <w:left w:val="nil"/>
          <w:bottom w:val="nil"/>
          <w:right w:val="nil"/>
          <w:between w:val="nil"/>
        </w:pBdr>
        <w:spacing w:after="240" w:line="275" w:lineRule="auto"/>
        <w:rPr>
          <w:rFonts w:ascii="Google Sans" w:eastAsia="Google Sans" w:hAnsi="Google Sans" w:cs="Google Sans"/>
          <w:color w:val="1B1C1D"/>
        </w:rPr>
      </w:pPr>
    </w:p>
    <w:p w14:paraId="41FF8E2D" w14:textId="77777777" w:rsidR="00EF2137" w:rsidRDefault="00EF2137">
      <w:pPr>
        <w:pBdr>
          <w:top w:val="nil"/>
          <w:left w:val="nil"/>
          <w:bottom w:val="nil"/>
          <w:right w:val="nil"/>
          <w:between w:val="nil"/>
        </w:pBdr>
        <w:spacing w:line="275" w:lineRule="auto"/>
        <w:rPr>
          <w:rFonts w:ascii="Google Sans" w:eastAsia="Google Sans" w:hAnsi="Google Sans" w:cs="Google Sans"/>
          <w:color w:val="1B1C1D"/>
        </w:rPr>
      </w:pPr>
    </w:p>
    <w:tbl>
      <w:tblPr>
        <w:tblStyle w:val="a6"/>
        <w:tblW w:w="4861" w:type="pct"/>
        <w:tblBorders>
          <w:top w:val="single" w:sz="18" w:space="0" w:color="auto"/>
          <w:left w:val="single" w:sz="18" w:space="0" w:color="auto"/>
          <w:bottom w:val="single" w:sz="18" w:space="0" w:color="auto"/>
          <w:right w:val="single" w:sz="18" w:space="0" w:color="auto"/>
        </w:tblBorders>
        <w:tblLayout w:type="fixed"/>
        <w:tblLook w:val="0600" w:firstRow="0" w:lastRow="0" w:firstColumn="0" w:lastColumn="0" w:noHBand="1" w:noVBand="1"/>
      </w:tblPr>
      <w:tblGrid>
        <w:gridCol w:w="2237"/>
        <w:gridCol w:w="2275"/>
        <w:gridCol w:w="1845"/>
        <w:gridCol w:w="1842"/>
        <w:gridCol w:w="1700"/>
        <w:gridCol w:w="2127"/>
        <w:gridCol w:w="1929"/>
      </w:tblGrid>
      <w:tr w:rsidR="00C0063B" w:rsidRPr="00C0063B" w14:paraId="48C6FBA7" w14:textId="77777777" w:rsidTr="00C0063B">
        <w:trPr>
          <w:tblHeader/>
        </w:trPr>
        <w:tc>
          <w:tcPr>
            <w:tcW w:w="802" w:type="pct"/>
            <w:tcBorders>
              <w:top w:val="single" w:sz="18" w:space="0" w:color="auto"/>
              <w:bottom w:val="single" w:sz="18" w:space="0" w:color="auto"/>
            </w:tcBorders>
            <w:shd w:val="clear" w:color="auto" w:fill="DBE5F1" w:themeFill="accent1" w:themeFillTint="33"/>
          </w:tcPr>
          <w:p w14:paraId="03FE32C3" w14:textId="77777777" w:rsidR="00EF2137" w:rsidRPr="00C0063B" w:rsidRDefault="00000000" w:rsidP="00C0063B">
            <w:pPr xmlns:w="http://schemas.openxmlformats.org/wordprocessingml/2006/main">
              <w:pBdr>
                <w:top w:val="nil"/>
                <w:left w:val="nil"/>
                <w:bottom w:val="nil"/>
                <w:right w:val="nil"/>
                <w:between w:val="nil"/>
              </w:pBdr>
              <w:spacing w:before="120" w:after="120" w:line="275" w:lineRule="auto"/>
              <w:jc w:val="center"/>
              <w:rPr>
                <w:rFonts w:ascii="Arial Nova Cond Light" w:eastAsia="Google Sans Text" w:hAnsi="Arial Nova Cond Light" w:cs="Google Sans Text"/>
                <w:b/>
                <w:bCs/>
                <w:color w:val="1B1C1D"/>
                <w:sz w:val="20"/>
                <w:szCs w:val="20"/>
              </w:rPr>
            </w:pPr>
            <w:r xmlns:w="http://schemas.openxmlformats.org/wordprocessingml/2006/main" w:rsidRPr="00C0063B">
              <w:rPr>
                <w:rFonts w:ascii="Arial Nova Cond Light" w:eastAsia="Google Sans Text" w:hAnsi="Arial Nova Cond Light" w:cs="Google Sans Text"/>
                <w:b/>
                <w:bCs/>
                <w:color w:val="1B1C1D"/>
                <w:sz w:val="20"/>
                <w:szCs w:val="20"/>
              </w:rPr>
              <w:t xml:space="preserve">Organization/Department</w:t>
            </w:r>
          </w:p>
        </w:tc>
        <w:tc>
          <w:tcPr>
            <w:tcW w:w="815" w:type="pct"/>
            <w:tcBorders>
              <w:top w:val="single" w:sz="18" w:space="0" w:color="auto"/>
              <w:bottom w:val="single" w:sz="18" w:space="0" w:color="auto"/>
            </w:tcBorders>
            <w:shd w:val="clear" w:color="auto" w:fill="DBE5F1" w:themeFill="accent1" w:themeFillTint="33"/>
          </w:tcPr>
          <w:p w14:paraId="49EE1138" w14:textId="77777777" w:rsidR="00EF2137" w:rsidRPr="00C0063B" w:rsidRDefault="00000000" w:rsidP="00C0063B">
            <w:pPr xmlns:w="http://schemas.openxmlformats.org/wordprocessingml/2006/main">
              <w:pBdr>
                <w:top w:val="nil"/>
                <w:left w:val="nil"/>
                <w:bottom w:val="nil"/>
                <w:right w:val="nil"/>
                <w:between w:val="nil"/>
              </w:pBdr>
              <w:spacing w:before="120" w:after="120" w:line="275" w:lineRule="auto"/>
              <w:jc w:val="center"/>
              <w:rPr>
                <w:rFonts w:ascii="Arial Nova Cond Light" w:eastAsia="Google Sans Text" w:hAnsi="Arial Nova Cond Light" w:cs="Google Sans Text"/>
                <w:b/>
                <w:bCs/>
                <w:color w:val="1B1C1D"/>
                <w:sz w:val="20"/>
                <w:szCs w:val="20"/>
              </w:rPr>
            </w:pPr>
            <w:r xmlns:w="http://schemas.openxmlformats.org/wordprocessingml/2006/main" w:rsidRPr="00C0063B">
              <w:rPr>
                <w:rFonts w:ascii="Arial Nova Cond Light" w:eastAsia="Google Sans Text" w:hAnsi="Arial Nova Cond Light" w:cs="Google Sans Text"/>
                <w:b/>
                <w:bCs/>
                <w:color w:val="1B1C1D"/>
                <w:sz w:val="20"/>
                <w:szCs w:val="20"/>
              </w:rPr>
              <w:t xml:space="preserve">Role in the Program</w:t>
            </w:r>
          </w:p>
        </w:tc>
        <w:tc>
          <w:tcPr>
            <w:tcW w:w="661" w:type="pct"/>
            <w:tcBorders>
              <w:top w:val="single" w:sz="18" w:space="0" w:color="auto"/>
              <w:bottom w:val="single" w:sz="18" w:space="0" w:color="auto"/>
            </w:tcBorders>
            <w:shd w:val="clear" w:color="auto" w:fill="DBE5F1" w:themeFill="accent1" w:themeFillTint="33"/>
          </w:tcPr>
          <w:p w14:paraId="4D177BE4" w14:textId="77777777" w:rsidR="00EF2137" w:rsidRPr="00C0063B" w:rsidRDefault="00000000" w:rsidP="00C0063B">
            <w:pPr xmlns:w="http://schemas.openxmlformats.org/wordprocessingml/2006/main">
              <w:pBdr>
                <w:top w:val="nil"/>
                <w:left w:val="nil"/>
                <w:bottom w:val="nil"/>
                <w:right w:val="nil"/>
                <w:between w:val="nil"/>
              </w:pBdr>
              <w:spacing w:before="120" w:after="120" w:line="275" w:lineRule="auto"/>
              <w:jc w:val="center"/>
              <w:rPr>
                <w:rFonts w:ascii="Arial Nova Cond Light" w:eastAsia="Google Sans Text" w:hAnsi="Arial Nova Cond Light" w:cs="Google Sans Text"/>
                <w:b/>
                <w:bCs/>
                <w:color w:val="1B1C1D"/>
                <w:sz w:val="20"/>
                <w:szCs w:val="20"/>
              </w:rPr>
            </w:pPr>
            <w:r xmlns:w="http://schemas.openxmlformats.org/wordprocessingml/2006/main" w:rsidRPr="00C0063B">
              <w:rPr>
                <w:rFonts w:ascii="Arial Nova Cond Light" w:eastAsia="Google Sans Text" w:hAnsi="Arial Nova Cond Light" w:cs="Google Sans Text"/>
                <w:b/>
                <w:bCs/>
                <w:color w:val="1B1C1D"/>
                <w:sz w:val="20"/>
                <w:szCs w:val="20"/>
              </w:rPr>
              <w:t xml:space="preserve">Responsible Manager (Top Level)</w:t>
            </w:r>
          </w:p>
        </w:tc>
        <w:tc>
          <w:tcPr>
            <w:tcW w:w="660" w:type="pct"/>
            <w:tcBorders>
              <w:top w:val="single" w:sz="18" w:space="0" w:color="auto"/>
              <w:bottom w:val="single" w:sz="18" w:space="0" w:color="auto"/>
            </w:tcBorders>
            <w:shd w:val="clear" w:color="auto" w:fill="DBE5F1" w:themeFill="accent1" w:themeFillTint="33"/>
          </w:tcPr>
          <w:p w14:paraId="18F8BEE9" w14:textId="77777777" w:rsidR="00EF2137" w:rsidRPr="00C0063B" w:rsidRDefault="00000000" w:rsidP="00C0063B">
            <w:pPr xmlns:w="http://schemas.openxmlformats.org/wordprocessingml/2006/main">
              <w:pBdr>
                <w:top w:val="nil"/>
                <w:left w:val="nil"/>
                <w:bottom w:val="nil"/>
                <w:right w:val="nil"/>
                <w:between w:val="nil"/>
              </w:pBdr>
              <w:spacing w:before="120" w:after="120" w:line="275" w:lineRule="auto"/>
              <w:jc w:val="center"/>
              <w:rPr>
                <w:rFonts w:ascii="Arial Nova Cond Light" w:eastAsia="Google Sans Text" w:hAnsi="Arial Nova Cond Light" w:cs="Google Sans Text"/>
                <w:b/>
                <w:bCs/>
                <w:color w:val="1B1C1D"/>
                <w:sz w:val="20"/>
                <w:szCs w:val="20"/>
              </w:rPr>
            </w:pPr>
            <w:r xmlns:w="http://schemas.openxmlformats.org/wordprocessingml/2006/main" w:rsidRPr="00C0063B">
              <w:rPr>
                <w:rFonts w:ascii="Arial Nova Cond Light" w:eastAsia="Google Sans Text" w:hAnsi="Arial Nova Cond Light" w:cs="Google Sans Text"/>
                <w:b/>
                <w:bCs/>
                <w:color w:val="1B1C1D"/>
                <w:sz w:val="20"/>
                <w:szCs w:val="20"/>
              </w:rPr>
              <w:t xml:space="preserve">Address</w:t>
            </w:r>
          </w:p>
        </w:tc>
        <w:tc>
          <w:tcPr>
            <w:tcW w:w="609" w:type="pct"/>
            <w:tcBorders>
              <w:top w:val="single" w:sz="18" w:space="0" w:color="auto"/>
              <w:bottom w:val="single" w:sz="18" w:space="0" w:color="auto"/>
            </w:tcBorders>
            <w:shd w:val="clear" w:color="auto" w:fill="DBE5F1" w:themeFill="accent1" w:themeFillTint="33"/>
          </w:tcPr>
          <w:p w14:paraId="19C0A566" w14:textId="77777777" w:rsidR="00EF2137" w:rsidRPr="00C0063B" w:rsidRDefault="00000000" w:rsidP="00C0063B">
            <w:pPr xmlns:w="http://schemas.openxmlformats.org/wordprocessingml/2006/main">
              <w:pBdr>
                <w:top w:val="nil"/>
                <w:left w:val="nil"/>
                <w:bottom w:val="nil"/>
                <w:right w:val="nil"/>
                <w:between w:val="nil"/>
              </w:pBdr>
              <w:spacing w:before="120" w:after="120" w:line="275" w:lineRule="auto"/>
              <w:jc w:val="center"/>
              <w:rPr>
                <w:rFonts w:ascii="Arial Nova Cond Light" w:eastAsia="Google Sans Text" w:hAnsi="Arial Nova Cond Light" w:cs="Google Sans Text"/>
                <w:b/>
                <w:bCs/>
                <w:color w:val="1B1C1D"/>
                <w:sz w:val="20"/>
                <w:szCs w:val="20"/>
              </w:rPr>
            </w:pPr>
            <w:r xmlns:w="http://schemas.openxmlformats.org/wordprocessingml/2006/main" w:rsidRPr="00C0063B">
              <w:rPr>
                <w:rFonts w:ascii="Arial Nova Cond Light" w:eastAsia="Google Sans Text" w:hAnsi="Arial Nova Cond Light" w:cs="Google Sans Text"/>
                <w:b/>
                <w:bCs/>
                <w:color w:val="1B1C1D"/>
                <w:sz w:val="20"/>
                <w:szCs w:val="20"/>
              </w:rPr>
              <w:t xml:space="preserve">Telephone (Central)</w:t>
            </w:r>
          </w:p>
        </w:tc>
        <w:tc>
          <w:tcPr>
            <w:tcW w:w="762" w:type="pct"/>
            <w:tcBorders>
              <w:top w:val="single" w:sz="18" w:space="0" w:color="auto"/>
              <w:bottom w:val="single" w:sz="18" w:space="0" w:color="auto"/>
            </w:tcBorders>
            <w:shd w:val="clear" w:color="auto" w:fill="DBE5F1" w:themeFill="accent1" w:themeFillTint="33"/>
          </w:tcPr>
          <w:p w14:paraId="0E95E8BD" w14:textId="77777777" w:rsidR="00EF2137" w:rsidRPr="00C0063B" w:rsidRDefault="00000000" w:rsidP="00C0063B">
            <w:pPr xmlns:w="http://schemas.openxmlformats.org/wordprocessingml/2006/main">
              <w:pBdr>
                <w:top w:val="nil"/>
                <w:left w:val="nil"/>
                <w:bottom w:val="nil"/>
                <w:right w:val="nil"/>
                <w:between w:val="nil"/>
              </w:pBdr>
              <w:spacing w:before="120" w:after="120" w:line="275" w:lineRule="auto"/>
              <w:jc w:val="center"/>
              <w:rPr>
                <w:rFonts w:ascii="Arial Nova Cond Light" w:eastAsia="Google Sans Text" w:hAnsi="Arial Nova Cond Light" w:cs="Google Sans Text"/>
                <w:b/>
                <w:bCs/>
                <w:color w:val="1B1C1D"/>
                <w:sz w:val="20"/>
                <w:szCs w:val="20"/>
              </w:rPr>
            </w:pPr>
            <w:r xmlns:w="http://schemas.openxmlformats.org/wordprocessingml/2006/main" w:rsidRPr="00C0063B">
              <w:rPr>
                <w:rFonts w:ascii="Arial Nova Cond Light" w:eastAsia="Google Sans Text" w:hAnsi="Arial Nova Cond Light" w:cs="Google Sans Text"/>
                <w:b/>
                <w:bCs/>
                <w:color w:val="1B1C1D"/>
                <w:sz w:val="20"/>
                <w:szCs w:val="20"/>
              </w:rPr>
              <w:t xml:space="preserve">Email (General / Account)</w:t>
            </w:r>
          </w:p>
        </w:tc>
        <w:tc>
          <w:tcPr>
            <w:tcW w:w="691" w:type="pct"/>
            <w:tcBorders>
              <w:top w:val="single" w:sz="18" w:space="0" w:color="auto"/>
              <w:bottom w:val="single" w:sz="18" w:space="0" w:color="auto"/>
            </w:tcBorders>
            <w:shd w:val="clear" w:color="auto" w:fill="DBE5F1" w:themeFill="accent1" w:themeFillTint="33"/>
          </w:tcPr>
          <w:p w14:paraId="280E545B" w14:textId="77777777" w:rsidR="00EF2137" w:rsidRPr="00C0063B" w:rsidRDefault="00000000" w:rsidP="00C0063B">
            <w:pPr xmlns:w="http://schemas.openxmlformats.org/wordprocessingml/2006/main">
              <w:pBdr>
                <w:top w:val="nil"/>
                <w:left w:val="nil"/>
                <w:bottom w:val="nil"/>
                <w:right w:val="nil"/>
                <w:between w:val="nil"/>
              </w:pBdr>
              <w:spacing w:before="120" w:after="120" w:line="275" w:lineRule="auto"/>
              <w:jc w:val="center"/>
              <w:rPr>
                <w:rFonts w:ascii="Arial Nova Cond Light" w:eastAsia="Google Sans Text" w:hAnsi="Arial Nova Cond Light" w:cs="Google Sans Text"/>
                <w:b/>
                <w:bCs/>
                <w:color w:val="1B1C1D"/>
                <w:sz w:val="20"/>
                <w:szCs w:val="20"/>
              </w:rPr>
            </w:pPr>
            <w:r xmlns:w="http://schemas.openxmlformats.org/wordprocessingml/2006/main" w:rsidRPr="00C0063B">
              <w:rPr>
                <w:rFonts w:ascii="Arial Nova Cond Light" w:eastAsia="Google Sans Text" w:hAnsi="Arial Nova Cond Light" w:cs="Google Sans Text"/>
                <w:b/>
                <w:bCs/>
                <w:color w:val="1B1C1D"/>
                <w:sz w:val="20"/>
                <w:szCs w:val="20"/>
              </w:rPr>
              <w:t xml:space="preserve">Website</w:t>
            </w:r>
          </w:p>
        </w:tc>
      </w:tr>
      <w:tr w:rsidR="00C0063B" w:rsidRPr="00C0063B" w14:paraId="1C838F3A" w14:textId="77777777" w:rsidTr="00C0063B">
        <w:tc>
          <w:tcPr>
            <w:tcW w:w="802" w:type="pct"/>
            <w:tcBorders>
              <w:top w:val="single" w:sz="18" w:space="0" w:color="auto"/>
            </w:tcBorders>
          </w:tcPr>
          <w:p w14:paraId="14B11248"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Ministry of Mining and Energy of Serbia (MME)</w:t>
            </w:r>
          </w:p>
        </w:tc>
        <w:tc>
          <w:tcPr>
            <w:tcW w:w="815" w:type="pct"/>
            <w:tcBorders>
              <w:top w:val="single" w:sz="18" w:space="0" w:color="auto"/>
            </w:tcBorders>
          </w:tcPr>
          <w:p w14:paraId="68171B1C"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Lead ministry; customer of the PTI EDF/Egis; main signatory of the MoU.</w:t>
            </w:r>
          </w:p>
        </w:tc>
        <w:tc>
          <w:tcPr>
            <w:tcW w:w="661" w:type="pct"/>
            <w:tcBorders>
              <w:top w:val="single" w:sz="18" w:space="0" w:color="auto"/>
            </w:tcBorders>
          </w:tcPr>
          <w:p w14:paraId="597801E6"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Dubravka Djedovic Handanovic (Minister)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1</w:t>
            </w:r>
          </w:p>
        </w:tc>
        <w:tc>
          <w:tcPr>
            <w:tcW w:w="660" w:type="pct"/>
            <w:tcBorders>
              <w:top w:val="single" w:sz="18" w:space="0" w:color="auto"/>
            </w:tcBorders>
          </w:tcPr>
          <w:p w14:paraId="6BEDB0A4"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Nemaina 22-26, 11000 Beograd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2</w:t>
            </w:r>
          </w:p>
        </w:tc>
        <w:tc>
          <w:tcPr>
            <w:tcW w:w="609" w:type="pct"/>
            <w:tcBorders>
              <w:top w:val="single" w:sz="18" w:space="0" w:color="auto"/>
            </w:tcBorders>
          </w:tcPr>
          <w:p w14:paraId="189E667C"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+381 11 3614-621 (Government)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4</w:t>
            </w:r>
          </w:p>
        </w:tc>
        <w:tc>
          <w:tcPr>
            <w:tcW w:w="762" w:type="pct"/>
            <w:tcBorders>
              <w:top w:val="single" w:sz="18" w:space="0" w:color="auto"/>
            </w:tcBorders>
          </w:tcPr>
          <w:p w14:paraId="0FCE73E6"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energetika@mre.gov.rs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5</w:t>
            </w:r>
          </w:p>
        </w:tc>
        <w:tc>
          <w:tcPr>
            <w:tcW w:w="691" w:type="pct"/>
            <w:tcBorders>
              <w:top w:val="single" w:sz="18" w:space="0" w:color="auto"/>
            </w:tcBorders>
          </w:tcPr>
          <w:p w14:paraId="7E40F1A7"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www.mre.gov.rs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6</w:t>
            </w:r>
          </w:p>
        </w:tc>
      </w:tr>
      <w:tr w:rsidR="00C0063B" w:rsidRPr="00C0063B" w14:paraId="2FA60822" w14:textId="77777777" w:rsidTr="00C0063B">
        <w:tc>
          <w:tcPr>
            <w:tcW w:w="802" w:type="pct"/>
          </w:tcPr>
          <w:p w14:paraId="7E1A6BC6"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Office of the Prime Minister of Serbia</w:t>
            </w:r>
          </w:p>
        </w:tc>
        <w:tc>
          <w:tcPr>
            <w:tcW w:w="815" w:type="pct"/>
          </w:tcPr>
          <w:p w14:paraId="56A5849D"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Highest political support; participated in the signing of the MoU.</w:t>
            </w:r>
          </w:p>
        </w:tc>
        <w:tc>
          <w:tcPr>
            <w:tcW w:w="661" w:type="pct"/>
          </w:tcPr>
          <w:p w14:paraId="26DD5447"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Milos Vucevic (Prime Minister)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7</w:t>
            </w:r>
          </w:p>
        </w:tc>
        <w:tc>
          <w:tcPr>
            <w:tcW w:w="660" w:type="pct"/>
          </w:tcPr>
          <w:p w14:paraId="13F6E816"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Nemajina 11, 11000 Beograd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4</w:t>
            </w:r>
          </w:p>
        </w:tc>
        <w:tc>
          <w:tcPr>
            <w:tcW w:w="609" w:type="pct"/>
          </w:tcPr>
          <w:p w14:paraId="023241A1"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+381 11 3614-621 (Central)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4</w:t>
            </w:r>
          </w:p>
        </w:tc>
        <w:tc>
          <w:tcPr>
            <w:tcW w:w="762" w:type="pct"/>
          </w:tcPr>
          <w:p w14:paraId="5D0C625A"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kontakt@gov.rs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4</w:t>
            </w:r>
          </w:p>
        </w:tc>
        <w:tc>
          <w:tcPr>
            <w:tcW w:w="691" w:type="pct"/>
          </w:tcPr>
          <w:p w14:paraId="3F25FEA0"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www.srbija.sr.gov.yu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8</w:t>
            </w:r>
          </w:p>
        </w:tc>
      </w:tr>
      <w:tr w:rsidR="00C0063B" w:rsidRPr="00C0063B" w14:paraId="58374416" w14:textId="77777777" w:rsidTr="00C0063B">
        <w:tc>
          <w:tcPr>
            <w:tcW w:w="802" w:type="pct"/>
          </w:tcPr>
          <w:p w14:paraId="0F92C92F"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Directorate for Radiation and Nuclear Safety and Security of Serbia (SRBATOM)</w:t>
            </w:r>
          </w:p>
        </w:tc>
        <w:tc>
          <w:tcPr>
            <w:tcW w:w="815" w:type="pct"/>
          </w:tcPr>
          <w:p w14:paraId="0D3CD8D5"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Regulatory body; responsible for creating the legislative framework.</w:t>
            </w:r>
          </w:p>
        </w:tc>
        <w:tc>
          <w:tcPr>
            <w:tcW w:w="661" w:type="pct"/>
          </w:tcPr>
          <w:p w14:paraId="7257252A"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[No director information in the reports]</w:t>
            </w:r>
          </w:p>
        </w:tc>
        <w:tc>
          <w:tcPr>
            <w:tcW w:w="660" w:type="pct"/>
          </w:tcPr>
          <w:p w14:paraId="1439A888"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Terazije 41a/IV, 11103 Beograd, Srbija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9</w:t>
            </w:r>
          </w:p>
        </w:tc>
        <w:tc>
          <w:tcPr>
            <w:tcW w:w="609" w:type="pct"/>
          </w:tcPr>
          <w:p w14:paraId="03032F05"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+381 11 455 0 500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9</w:t>
            </w:r>
          </w:p>
        </w:tc>
        <w:tc>
          <w:tcPr>
            <w:tcW w:w="762" w:type="pct"/>
          </w:tcPr>
          <w:p w14:paraId="2C2F7C7A"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info@srbatom.gov.rs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10</w:t>
            </w:r>
          </w:p>
        </w:tc>
        <w:tc>
          <w:tcPr>
            <w:tcW w:w="691" w:type="pct"/>
          </w:tcPr>
          <w:p w14:paraId="34C72DDD"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www.srbatom.gov.rs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11</w:t>
            </w:r>
          </w:p>
        </w:tc>
      </w:tr>
      <w:tr w:rsidR="00C0063B" w:rsidRPr="00C0063B" w14:paraId="1A4398BB" w14:textId="77777777" w:rsidTr="00C0063B">
        <w:tc>
          <w:tcPr>
            <w:tcW w:w="802" w:type="pct"/>
          </w:tcPr>
          <w:p w14:paraId="5B3BE0CC"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Ministry of Environmental Protection of Serbia</w:t>
            </w:r>
          </w:p>
        </w:tc>
        <w:tc>
          <w:tcPr>
            <w:tcW w:w="815" w:type="pct"/>
          </w:tcPr>
          <w:p w14:paraId="232BE607"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One of the five ministries that signed the MoU.</w:t>
            </w:r>
          </w:p>
        </w:tc>
        <w:tc>
          <w:tcPr>
            <w:tcW w:w="661" w:type="pct"/>
          </w:tcPr>
          <w:p w14:paraId="66244DF1"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Sandra Dokic (Minister)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12</w:t>
            </w:r>
          </w:p>
        </w:tc>
        <w:tc>
          <w:tcPr>
            <w:tcW w:w="660" w:type="pct"/>
          </w:tcPr>
          <w:p w14:paraId="19CF079F"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Omladinski brigade 1, 11070 Novi Beograd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13</w:t>
            </w:r>
          </w:p>
        </w:tc>
        <w:tc>
          <w:tcPr>
            <w:tcW w:w="609" w:type="pct"/>
          </w:tcPr>
          <w:p w14:paraId="366415E9"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+381 11 3110-271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13</w:t>
            </w:r>
          </w:p>
        </w:tc>
        <w:tc>
          <w:tcPr>
            <w:tcW w:w="762" w:type="pct"/>
          </w:tcPr>
          <w:p w14:paraId="38A9597F"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info@ekologija.gov.rs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13</w:t>
            </w:r>
          </w:p>
        </w:tc>
        <w:tc>
          <w:tcPr>
            <w:tcW w:w="691" w:type="pct"/>
          </w:tcPr>
          <w:p w14:paraId="53DB2C69"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www.ekologija.gov.rs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13</w:t>
            </w:r>
          </w:p>
        </w:tc>
      </w:tr>
      <w:tr w:rsidR="00C0063B" w:rsidRPr="00C0063B" w14:paraId="3C9097AE" w14:textId="77777777" w:rsidTr="00C0063B">
        <w:tc>
          <w:tcPr>
            <w:tcW w:w="802" w:type="pct"/>
          </w:tcPr>
          <w:p w14:paraId="2E46F695"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University near Beograd</w:t>
            </w:r>
          </w:p>
        </w:tc>
        <w:tc>
          <w:tcPr>
            <w:tcW w:w="815" w:type="pct"/>
          </w:tcPr>
          <w:p w14:paraId="736E71E4"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Member of the MoU; provides scientific and technical potential.</w:t>
            </w:r>
          </w:p>
        </w:tc>
        <w:tc>
          <w:tcPr>
            <w:tcW w:w="661" w:type="pct"/>
          </w:tcPr>
          <w:p w14:paraId="6F1427C5"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[No data about the rector in the reports]</w:t>
            </w:r>
          </w:p>
        </w:tc>
        <w:tc>
          <w:tcPr>
            <w:tcW w:w="660" w:type="pct"/>
          </w:tcPr>
          <w:p w14:paraId="734698A4"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Studentski trg 1, 11000 Beograd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14</w:t>
            </w:r>
          </w:p>
        </w:tc>
        <w:tc>
          <w:tcPr>
            <w:tcW w:w="609" w:type="pct"/>
          </w:tcPr>
          <w:p w14:paraId="765AB0F4"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+381 11 3207 400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15</w:t>
            </w:r>
          </w:p>
        </w:tc>
        <w:tc>
          <w:tcPr>
            <w:tcW w:w="762" w:type="pct"/>
          </w:tcPr>
          <w:p w14:paraId="104377B4"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info.office@rect.bg.ac.rs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14</w:t>
            </w:r>
          </w:p>
        </w:tc>
        <w:tc>
          <w:tcPr>
            <w:tcW w:w="691" w:type="pct"/>
          </w:tcPr>
          <w:p w14:paraId="0753FFFF"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www.bg.ac.rs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14</w:t>
            </w:r>
          </w:p>
        </w:tc>
      </w:tr>
      <w:tr w:rsidR="00C0063B" w:rsidRPr="00C0063B" w14:paraId="79438D27" w14:textId="77777777" w:rsidTr="00C0063B">
        <w:tc>
          <w:tcPr>
            <w:tcW w:w="802" w:type="pct"/>
          </w:tcPr>
          <w:p w14:paraId="1217B0FA"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Institut za nuklearne nauke „Vinča“ (Vinča Institute)</w:t>
            </w:r>
          </w:p>
        </w:tc>
        <w:tc>
          <w:tcPr>
            <w:tcW w:w="815" w:type="pct"/>
          </w:tcPr>
          <w:p w14:paraId="31ED143A"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Historical Center for Nuclear Expertise; participant in the MoU.</w:t>
            </w:r>
          </w:p>
        </w:tc>
        <w:tc>
          <w:tcPr>
            <w:tcW w:w="661" w:type="pct"/>
          </w:tcPr>
          <w:p w14:paraId="6F2DD1C1"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Dr. Slavko Dimovic (Director)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16</w:t>
            </w:r>
          </w:p>
        </w:tc>
        <w:tc>
          <w:tcPr>
            <w:tcW w:w="660" w:type="pct"/>
          </w:tcPr>
          <w:p w14:paraId="4BD4CD67"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Mike Petrovica Alasa 12, Beograd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17</w:t>
            </w:r>
          </w:p>
        </w:tc>
        <w:tc>
          <w:tcPr>
            <w:tcW w:w="609" w:type="pct"/>
          </w:tcPr>
          <w:p w14:paraId="3DD8BEA9"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+381 11 3408 104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16</w:t>
            </w:r>
          </w:p>
        </w:tc>
        <w:tc>
          <w:tcPr>
            <w:tcW w:w="762" w:type="pct"/>
          </w:tcPr>
          <w:p w14:paraId="3F1735DB"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office@vin.bg.ac.rs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16</w:t>
            </w:r>
          </w:p>
        </w:tc>
        <w:tc>
          <w:tcPr>
            <w:tcW w:w="691" w:type="pct"/>
          </w:tcPr>
          <w:p w14:paraId="7879F1F0"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www.vin.bg.ac.rs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16</w:t>
            </w:r>
          </w:p>
        </w:tc>
      </w:tr>
      <w:tr w:rsidR="00C0063B" w:rsidRPr="00C0063B" w14:paraId="69832DD0" w14:textId="77777777" w:rsidTr="00C0063B">
        <w:tc>
          <w:tcPr>
            <w:tcW w:w="802" w:type="pct"/>
          </w:tcPr>
          <w:p w14:paraId="2F8B12DF"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lastRenderedPageBreak xmlns:w="http://schemas.openxmlformats.org/wordprocessingml/2006/main"/>
            </w:r>
            <w:r xmlns:w="http://schemas.openxmlformats.org/wordprocessingml/2006/main" w:rsidRPr="00C0063B">
              <w:rPr>
                <w:rFonts w:ascii="Arial Nova Cond Light" w:eastAsia="Google Sans Text" w:hAnsi="Arial Nova Cond Light" w:cs="Google Sans Text"/>
                <w:color w:val="1B1C1D"/>
                <w:sz w:val="20"/>
                <w:szCs w:val="20"/>
              </w:rPr>
              <w:t xml:space="preserve">Institute for Physics Beograd</w:t>
            </w:r>
          </w:p>
        </w:tc>
        <w:tc>
          <w:tcPr>
            <w:tcW w:w="815" w:type="pct"/>
          </w:tcPr>
          <w:p w14:paraId="055FB8AD"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Scientific Institute; MoU participant.</w:t>
            </w:r>
          </w:p>
        </w:tc>
        <w:tc>
          <w:tcPr>
            <w:tcW w:w="661" w:type="pct"/>
          </w:tcPr>
          <w:p w14:paraId="443C7926"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[No director information in the reports]</w:t>
            </w:r>
          </w:p>
        </w:tc>
        <w:tc>
          <w:tcPr>
            <w:tcW w:w="660" w:type="pct"/>
          </w:tcPr>
          <w:p w14:paraId="5F007866"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Pregrevica 118, 11080 Beograd (Zemun)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18</w:t>
            </w:r>
          </w:p>
        </w:tc>
        <w:tc>
          <w:tcPr>
            <w:tcW w:w="609" w:type="pct"/>
          </w:tcPr>
          <w:p w14:paraId="3017D9D7"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+381 11 3713-000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18</w:t>
            </w:r>
          </w:p>
        </w:tc>
        <w:tc>
          <w:tcPr>
            <w:tcW w:w="762" w:type="pct"/>
          </w:tcPr>
          <w:p w14:paraId="1E0CDF74"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info@ipb.ac.rs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18</w:t>
            </w:r>
          </w:p>
        </w:tc>
        <w:tc>
          <w:tcPr>
            <w:tcW w:w="691" w:type="pct"/>
          </w:tcPr>
          <w:p w14:paraId="6EE53084"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www.ipb.ac.rs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19</w:t>
            </w:r>
          </w:p>
        </w:tc>
      </w:tr>
      <w:tr w:rsidR="00C0063B" w:rsidRPr="00C0063B" w14:paraId="07D6A268" w14:textId="77777777" w:rsidTr="00C0063B">
        <w:tc>
          <w:tcPr>
            <w:tcW w:w="802" w:type="pct"/>
          </w:tcPr>
          <w:p w14:paraId="68817A1F"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Shareholders' company "Elektromreza Srbije" (EMS AD)</w:t>
            </w:r>
          </w:p>
        </w:tc>
        <w:tc>
          <w:tcPr>
            <w:tcW w:w="815" w:type="pct"/>
          </w:tcPr>
          <w:p w14:paraId="4A36F73D"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Transmission System Operator (TSO); MoU participant.</w:t>
            </w:r>
          </w:p>
        </w:tc>
        <w:tc>
          <w:tcPr>
            <w:tcW w:w="661" w:type="pct"/>
          </w:tcPr>
          <w:p w14:paraId="39B7C24A"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[No director information in the reports]</w:t>
            </w:r>
          </w:p>
        </w:tc>
        <w:tc>
          <w:tcPr>
            <w:tcW w:w="660" w:type="pct"/>
          </w:tcPr>
          <w:p w14:paraId="59A576A2"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Kneza Miloša 11, 11000 Beograd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20</w:t>
            </w:r>
          </w:p>
        </w:tc>
        <w:tc>
          <w:tcPr>
            <w:tcW w:w="609" w:type="pct"/>
          </w:tcPr>
          <w:p w14:paraId="3BC51851"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+381 11 3330-620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20</w:t>
            </w:r>
          </w:p>
        </w:tc>
        <w:tc>
          <w:tcPr>
            <w:tcW w:w="762" w:type="pct"/>
          </w:tcPr>
          <w:p w14:paraId="1342B1BF"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kabinet@ems.rs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20</w:t>
            </w:r>
          </w:p>
        </w:tc>
        <w:tc>
          <w:tcPr>
            <w:tcW w:w="691" w:type="pct"/>
          </w:tcPr>
          <w:p w14:paraId="00A9A975"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www.ems.rs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20</w:t>
            </w:r>
          </w:p>
        </w:tc>
      </w:tr>
      <w:tr w:rsidR="00C0063B" w:rsidRPr="00C0063B" w14:paraId="1026319B" w14:textId="77777777" w:rsidTr="00C0063B">
        <w:tc>
          <w:tcPr>
            <w:tcW w:w="802" w:type="pct"/>
          </w:tcPr>
          <w:p w14:paraId="50212C66"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Evidently foreseeable Elektroprivreda Srbije (EPS)</w:t>
            </w:r>
          </w:p>
        </w:tc>
        <w:tc>
          <w:tcPr>
            <w:tcW w:w="815" w:type="pct"/>
          </w:tcPr>
          <w:p w14:paraId="23B12860"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State-owned energy company; participant in the MoU.</w:t>
            </w:r>
          </w:p>
        </w:tc>
        <w:tc>
          <w:tcPr>
            <w:tcW w:w="661" w:type="pct"/>
          </w:tcPr>
          <w:p w14:paraId="5E66A88A"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[No director information in the reports]</w:t>
            </w:r>
          </w:p>
        </w:tc>
        <w:tc>
          <w:tcPr>
            <w:tcW w:w="660" w:type="pct"/>
          </w:tcPr>
          <w:p w14:paraId="235CA2C8"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Balkanska 13, 11000 Beograd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7</w:t>
            </w:r>
          </w:p>
        </w:tc>
        <w:tc>
          <w:tcPr>
            <w:tcW w:w="609" w:type="pct"/>
          </w:tcPr>
          <w:p w14:paraId="33DD94AB"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+381 11 2024-653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7</w:t>
            </w:r>
          </w:p>
        </w:tc>
        <w:tc>
          <w:tcPr>
            <w:tcW w:w="762" w:type="pct"/>
          </w:tcPr>
          <w:p w14:paraId="569D3EEF"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kabinet@eps.rs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7</w:t>
            </w:r>
          </w:p>
        </w:tc>
        <w:tc>
          <w:tcPr>
            <w:tcW w:w="691" w:type="pct"/>
          </w:tcPr>
          <w:p w14:paraId="6984365B"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www.eps.rs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7</w:t>
            </w:r>
          </w:p>
        </w:tc>
      </w:tr>
      <w:tr w:rsidR="00C0063B" w:rsidRPr="00C0063B" w14:paraId="469DBBD1" w14:textId="77777777" w:rsidTr="00C0063B">
        <w:tc>
          <w:tcPr>
            <w:tcW w:w="802" w:type="pct"/>
          </w:tcPr>
          <w:p w14:paraId="2449B40B"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Électricité de France (EDF)</w:t>
            </w:r>
          </w:p>
        </w:tc>
        <w:tc>
          <w:tcPr>
            <w:tcW w:w="815" w:type="pct"/>
          </w:tcPr>
          <w:p w14:paraId="3A8CCE55"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International partner; co-executor of the Preliminary Technical Study (PTS).</w:t>
            </w:r>
          </w:p>
        </w:tc>
        <w:tc>
          <w:tcPr>
            <w:tcW w:w="661" w:type="pct"/>
          </w:tcPr>
          <w:p w14:paraId="46D45F88"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Bernard Fontana (Chairman &amp; CEO)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21</w:t>
            </w:r>
          </w:p>
        </w:tc>
        <w:tc>
          <w:tcPr>
            <w:tcW w:w="660" w:type="pct"/>
          </w:tcPr>
          <w:p w14:paraId="5C61B747"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22-30 avenue de Wagram, 75008 Paris, France (Global Headquarters)</w:t>
            </w:r>
          </w:p>
        </w:tc>
        <w:tc>
          <w:tcPr>
            <w:tcW w:w="609" w:type="pct"/>
          </w:tcPr>
          <w:p w14:paraId="2BC0F496"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[No data in reports]</w:t>
            </w:r>
          </w:p>
        </w:tc>
        <w:tc>
          <w:tcPr>
            <w:tcW w:w="762" w:type="pct"/>
          </w:tcPr>
          <w:p w14:paraId="2473F782"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[No data in reports]</w:t>
            </w:r>
          </w:p>
        </w:tc>
        <w:tc>
          <w:tcPr>
            <w:tcW w:w="691" w:type="pct"/>
          </w:tcPr>
          <w:p w14:paraId="0FEB07FA"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www.edf.fr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21</w:t>
            </w:r>
          </w:p>
        </w:tc>
      </w:tr>
      <w:tr w:rsidR="00C0063B" w:rsidRPr="00C0063B" w14:paraId="71D0D900" w14:textId="77777777" w:rsidTr="00C0063B">
        <w:tc>
          <w:tcPr>
            <w:tcW w:w="802" w:type="pct"/>
          </w:tcPr>
          <w:p w14:paraId="2C3B0B08"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Egis Industries (Egis)</w:t>
            </w:r>
          </w:p>
        </w:tc>
        <w:tc>
          <w:tcPr>
            <w:tcW w:w="815" w:type="pct"/>
          </w:tcPr>
          <w:p w14:paraId="7022FE08"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International partner; co-implementer of PTI; has a permanent presence in Belgrade.</w:t>
            </w:r>
          </w:p>
        </w:tc>
        <w:tc>
          <w:tcPr>
            <w:tcW w:w="661" w:type="pct"/>
          </w:tcPr>
          <w:p w14:paraId="097867BB"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Laurent Germain (Chief Executive Officer)</w:t>
            </w:r>
          </w:p>
        </w:tc>
        <w:tc>
          <w:tcPr>
            <w:tcW w:w="660" w:type="pct"/>
          </w:tcPr>
          <w:p w14:paraId="6B3016EC" w14:textId="77777777" w:rsidR="00EF2137" w:rsidRPr="00C0063B" w:rsidRDefault="00000000">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r xmlns:w="http://schemas.openxmlformats.org/wordprocessingml/2006/main" w:rsidRPr="00C0063B">
              <w:rPr>
                <w:rFonts w:ascii="Arial Nova Cond Light" w:eastAsia="Google Sans Text" w:hAnsi="Arial Nova Cond Light" w:cs="Google Sans Text"/>
                <w:color w:val="1B1C1D"/>
                <w:sz w:val="20"/>
                <w:szCs w:val="20"/>
              </w:rPr>
              <w:t xml:space="preserve">Resavska 31, 11000 Beograd, Srbija </w:t>
            </w:r>
            <w:r xmlns:w="http://schemas.openxmlformats.org/wordprocessingml/2006/main" w:rsidRPr="00C0063B">
              <w:rPr>
                <w:rFonts w:ascii="Arial Nova Cond Light" w:eastAsia="Google Sans Text" w:hAnsi="Arial Nova Cond Light" w:cs="Google Sans Text"/>
                <w:color w:val="575B5F"/>
                <w:sz w:val="20"/>
                <w:szCs w:val="20"/>
                <w:vertAlign w:val="superscript"/>
              </w:rPr>
              <w:t xml:space="preserve">22</w:t>
            </w:r>
          </w:p>
        </w:tc>
        <w:tc>
          <w:tcPr>
            <w:tcW w:w="609" w:type="pct"/>
          </w:tcPr>
          <w:p w14:paraId="2EEC3919"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[No data in reports]</w:t>
            </w:r>
          </w:p>
        </w:tc>
        <w:tc>
          <w:tcPr>
            <w:tcW w:w="762" w:type="pct"/>
          </w:tcPr>
          <w:p w14:paraId="375733FF"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[No data in reports]</w:t>
            </w:r>
          </w:p>
        </w:tc>
        <w:tc>
          <w:tcPr>
            <w:tcW w:w="691" w:type="pct"/>
          </w:tcPr>
          <w:p w14:paraId="27729528" w14:textId="77777777" w:rsidR="00EF2137" w:rsidRPr="00C0063B" w:rsidRDefault="00EF2137">
            <w:pPr xmlns:w="http://schemas.openxmlformats.org/wordprocessingml/2006/main">
              <w:pBdr>
                <w:top w:val="nil"/>
                <w:left w:val="nil"/>
                <w:bottom w:val="nil"/>
                <w:right w:val="nil"/>
                <w:between w:val="nil"/>
              </w:pBdr>
              <w:spacing w:line="275" w:lineRule="auto"/>
              <w:rPr>
                <w:rFonts w:ascii="Arial Nova Cond Light" w:eastAsia="Google Sans Text" w:hAnsi="Arial Nova Cond Light" w:cs="Google Sans Text"/>
                <w:color w:val="575B5F"/>
                <w:sz w:val="20"/>
                <w:szCs w:val="20"/>
                <w:vertAlign w:val="superscript"/>
              </w:rPr>
            </w:pPr>
            <w:hyperlink xmlns:w="http://schemas.openxmlformats.org/wordprocessingml/2006/main" xmlns:r="http://schemas.openxmlformats.org/officeDocument/2006/relationships" r:id="rId7">
              <w:r xmlns:w="http://schemas.openxmlformats.org/wordprocessingml/2006/main" w:rsidRPr="00C0063B">
                <w:rPr>
                  <w:rFonts w:ascii="Arial Nova Cond Light" w:eastAsia="Google Sans Text" w:hAnsi="Arial Nova Cond Light" w:cs="Google Sans Text"/>
                  <w:color w:val="0B57D0"/>
                  <w:sz w:val="20"/>
                  <w:szCs w:val="20"/>
                  <w:u w:val="single"/>
                </w:rPr>
                <w:t xml:space="preserve">www.egis-group.com</w:t>
              </w:r>
            </w:hyperlink>
            <w:r xmlns:w="http://schemas.openxmlformats.org/wordprocessingml/2006/main" w:rsidR="00000000" w:rsidRPr="00C0063B">
              <w:rPr>
                <w:rFonts w:ascii="Arial Nova Cond Light" w:eastAsia="Google Sans Text" w:hAnsi="Arial Nova Cond Light" w:cs="Google Sans Text"/>
                <w:color w:val="1B1C1D"/>
                <w:sz w:val="20"/>
                <w:szCs w:val="20"/>
              </w:rPr>
              <w:t xml:space="preserve"> </w:t>
            </w:r>
            <w:r xmlns:w="http://schemas.openxmlformats.org/wordprocessingml/2006/main" w:rsidR="00000000" w:rsidRPr="00C0063B">
              <w:rPr>
                <w:rFonts w:ascii="Arial Nova Cond Light" w:eastAsia="Google Sans Text" w:hAnsi="Arial Nova Cond Light" w:cs="Google Sans Text"/>
                <w:color w:val="575B5F"/>
                <w:sz w:val="20"/>
                <w:szCs w:val="20"/>
                <w:vertAlign w:val="superscript"/>
              </w:rPr>
              <w:t xml:space="preserve">24</w:t>
            </w:r>
          </w:p>
        </w:tc>
      </w:tr>
      <w:tr w:rsidR="00C0063B" w:rsidRPr="00C0063B" w14:paraId="33893B6A" w14:textId="77777777" w:rsidTr="00C0063B">
        <w:tc>
          <w:tcPr>
            <w:tcW w:w="802" w:type="pct"/>
          </w:tcPr>
          <w:p w14:paraId="7421BB0D"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State Corporation Rosatom</w:t>
            </w:r>
          </w:p>
        </w:tc>
        <w:tc>
          <w:tcPr>
            <w:tcW w:w="815" w:type="pct"/>
          </w:tcPr>
          <w:p w14:paraId="4D11CAB2"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Potential supplier of reactors (VVER-1200, SMR); negotiations are underway.</w:t>
            </w:r>
          </w:p>
        </w:tc>
        <w:tc>
          <w:tcPr>
            <w:tcW w:w="661" w:type="pct"/>
          </w:tcPr>
          <w:p w14:paraId="3E99FAF0"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Alexey Likhachev (General Director)</w:t>
            </w:r>
          </w:p>
        </w:tc>
        <w:tc>
          <w:tcPr>
            <w:tcW w:w="660" w:type="pct"/>
          </w:tcPr>
          <w:p w14:paraId="343C8EB9"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24 Bolshaya Ordynka St., 119017 Moscow, Russia</w:t>
            </w:r>
          </w:p>
        </w:tc>
        <w:tc>
          <w:tcPr>
            <w:tcW w:w="609" w:type="pct"/>
          </w:tcPr>
          <w:p w14:paraId="123C1844"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+7 499 949 4535</w:t>
            </w:r>
          </w:p>
        </w:tc>
        <w:tc>
          <w:tcPr>
            <w:tcW w:w="762" w:type="pct"/>
          </w:tcPr>
          <w:p w14:paraId="267BA001"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info@rosatom.ru</w:t>
            </w:r>
          </w:p>
        </w:tc>
        <w:tc>
          <w:tcPr>
            <w:tcW w:w="691" w:type="pct"/>
          </w:tcPr>
          <w:p w14:paraId="6FB5FBC9"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www.rosatom.ru</w:t>
            </w:r>
          </w:p>
        </w:tc>
      </w:tr>
      <w:tr w:rsidR="00C0063B" w:rsidRPr="00C0063B" w14:paraId="6720BF04" w14:textId="77777777" w:rsidTr="00C0063B">
        <w:tc>
          <w:tcPr>
            <w:tcW w:w="802" w:type="pct"/>
          </w:tcPr>
          <w:p w14:paraId="32B932D7"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Korea Hydro &amp; Nuclear Power (KHNP)</w:t>
            </w:r>
          </w:p>
        </w:tc>
        <w:tc>
          <w:tcPr>
            <w:tcW w:w="815" w:type="pct"/>
          </w:tcPr>
          <w:p w14:paraId="05E03A13"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Potential supplier of reactors (APR-1400); MoUs on cooperation signed.</w:t>
            </w:r>
          </w:p>
        </w:tc>
        <w:tc>
          <w:tcPr>
            <w:tcW w:w="661" w:type="pct"/>
          </w:tcPr>
          <w:p w14:paraId="0620A7D3"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Whang Joo-ho (President and CEO)</w:t>
            </w:r>
          </w:p>
        </w:tc>
        <w:tc>
          <w:tcPr>
            <w:tcW w:w="660" w:type="pct"/>
          </w:tcPr>
          <w:p w14:paraId="2DD2F09E"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Gyeongju, North Gyeongsang, South Korea (Headquarters)</w:t>
            </w:r>
          </w:p>
        </w:tc>
        <w:tc>
          <w:tcPr>
            <w:tcW w:w="609" w:type="pct"/>
          </w:tcPr>
          <w:p w14:paraId="1065A243"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[No data in reports]</w:t>
            </w:r>
          </w:p>
        </w:tc>
        <w:tc>
          <w:tcPr>
            <w:tcW w:w="762" w:type="pct"/>
          </w:tcPr>
          <w:p w14:paraId="260E950C"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[No data in reports]</w:t>
            </w:r>
          </w:p>
        </w:tc>
        <w:tc>
          <w:tcPr>
            <w:tcW w:w="691" w:type="pct"/>
          </w:tcPr>
          <w:p w14:paraId="1878A363"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[No data in reports]</w:t>
            </w:r>
          </w:p>
        </w:tc>
      </w:tr>
      <w:tr w:rsidR="00C0063B" w:rsidRPr="00C0063B" w14:paraId="33672C56" w14:textId="77777777" w:rsidTr="00C0063B">
        <w:tc>
          <w:tcPr>
            <w:tcW w:w="802" w:type="pct"/>
          </w:tcPr>
          <w:p w14:paraId="6E4CE32D"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Westinghouse Electric </w:t>
            </w:r>
            <w:r xmlns:w="http://schemas.openxmlformats.org/wordprocessingml/2006/main" w:rsidRPr="00C0063B">
              <w:rPr>
                <w:rFonts w:ascii="Arial Nova Cond Light" w:eastAsia="Google Sans Text" w:hAnsi="Arial Nova Cond Light" w:cs="Google Sans Text"/>
                <w:color w:val="1B1C1D"/>
                <w:sz w:val="20"/>
                <w:szCs w:val="20"/>
              </w:rPr>
              <w:lastRenderedPageBreak xmlns:w="http://schemas.openxmlformats.org/wordprocessingml/2006/main"/>
            </w:r>
            <w:r xmlns:w="http://schemas.openxmlformats.org/wordprocessingml/2006/main" w:rsidRPr="00C0063B">
              <w:rPr>
                <w:rFonts w:ascii="Arial Nova Cond Light" w:eastAsia="Google Sans Text" w:hAnsi="Arial Nova Cond Light" w:cs="Google Sans Text"/>
                <w:color w:val="1B1C1D"/>
                <w:sz w:val="20"/>
                <w:szCs w:val="20"/>
              </w:rPr>
              <w:t xml:space="preserve">Company LLC</w:t>
            </w:r>
          </w:p>
        </w:tc>
        <w:tc>
          <w:tcPr>
            <w:tcW w:w="815" w:type="pct"/>
          </w:tcPr>
          <w:p w14:paraId="16B436AD"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lastRenderedPageBreak xmlns:w="http://schemas.openxmlformats.org/wordprocessingml/2006/main"/>
            </w:r>
            <w:r xmlns:w="http://schemas.openxmlformats.org/wordprocessingml/2006/main" w:rsidRPr="00C0063B">
              <w:rPr>
                <w:rFonts w:ascii="Arial Nova Cond Light" w:eastAsia="Google Sans Text" w:hAnsi="Arial Nova Cond Light" w:cs="Google Sans Text"/>
                <w:color w:val="1B1C1D"/>
                <w:sz w:val="20"/>
                <w:szCs w:val="20"/>
              </w:rPr>
              <w:t xml:space="preserve">Potential reactor supplier (AP1000); mentioned in the context of the global Gen III+ market.</w:t>
            </w:r>
          </w:p>
        </w:tc>
        <w:tc>
          <w:tcPr>
            <w:tcW w:w="661" w:type="pct"/>
          </w:tcPr>
          <w:p w14:paraId="1AA251F5"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lastRenderedPageBreak xmlns:w="http://schemas.openxmlformats.org/wordprocessingml/2006/main"/>
            </w:r>
            <w:r xmlns:w="http://schemas.openxmlformats.org/wordprocessingml/2006/main" w:rsidRPr="00C0063B">
              <w:rPr>
                <w:rFonts w:ascii="Arial Nova Cond Light" w:eastAsia="Google Sans Text" w:hAnsi="Arial Nova Cond Light" w:cs="Google Sans Text"/>
                <w:color w:val="1B1C1D"/>
                <w:sz w:val="20"/>
                <w:szCs w:val="20"/>
              </w:rPr>
              <w:t xml:space="preserve">Dan Sumner (Interim Chief Executive Officer)</w:t>
            </w:r>
          </w:p>
        </w:tc>
        <w:tc>
          <w:tcPr>
            <w:tcW w:w="660" w:type="pct"/>
          </w:tcPr>
          <w:p w14:paraId="602EE5F0"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lastRenderedPageBreak xmlns:w="http://schemas.openxmlformats.org/wordprocessingml/2006/main"/>
            </w:r>
            <w:r xmlns:w="http://schemas.openxmlformats.org/wordprocessingml/2006/main" w:rsidRPr="00C0063B">
              <w:rPr>
                <w:rFonts w:ascii="Arial Nova Cond Light" w:eastAsia="Google Sans Text" w:hAnsi="Arial Nova Cond Light" w:cs="Google Sans Text"/>
                <w:color w:val="1B1C1D"/>
                <w:sz w:val="20"/>
                <w:szCs w:val="20"/>
              </w:rPr>
              <w:t xml:space="preserve">1000 Westinghouse Drive, Cranberry Township, Pennsylvania, 16066, USA</w:t>
            </w:r>
          </w:p>
        </w:tc>
        <w:tc>
          <w:tcPr>
            <w:tcW w:w="609" w:type="pct"/>
          </w:tcPr>
          <w:p w14:paraId="02382266"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lastRenderedPageBreak xmlns:w="http://schemas.openxmlformats.org/wordprocessingml/2006/main"/>
            </w:r>
            <w:r xmlns:w="http://schemas.openxmlformats.org/wordprocessingml/2006/main" w:rsidRPr="00C0063B">
              <w:rPr>
                <w:rFonts w:ascii="Arial Nova Cond Light" w:eastAsia="Google Sans Text" w:hAnsi="Arial Nova Cond Light" w:cs="Google Sans Text"/>
                <w:color w:val="1B1C1D"/>
                <w:sz w:val="20"/>
                <w:szCs w:val="20"/>
              </w:rPr>
              <w:t xml:space="preserve">+1 412 374-4111</w:t>
            </w:r>
          </w:p>
        </w:tc>
        <w:tc>
          <w:tcPr>
            <w:tcW w:w="762" w:type="pct"/>
          </w:tcPr>
          <w:p w14:paraId="3E8C6059"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[No data in reports]</w:t>
            </w:r>
          </w:p>
        </w:tc>
        <w:tc>
          <w:tcPr>
            <w:tcW w:w="691" w:type="pct"/>
          </w:tcPr>
          <w:p w14:paraId="2A590024" w14:textId="77777777" w:rsidR="00EF2137" w:rsidRPr="00C0063B" w:rsidRDefault="00EF2137">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0B57D0"/>
                <w:sz w:val="20"/>
                <w:szCs w:val="20"/>
                <w:u w:val="single"/>
              </w:rPr>
            </w:pPr>
            <w:hyperlink xmlns:w="http://schemas.openxmlformats.org/wordprocessingml/2006/main" xmlns:r="http://schemas.openxmlformats.org/officeDocument/2006/relationships" r:id="rId8">
              <w:r xmlns:w="http://schemas.openxmlformats.org/wordprocessingml/2006/main" w:rsidRPr="00C0063B">
                <w:rPr>
                  <w:rFonts w:ascii="Arial Nova Cond Light" w:eastAsia="Google Sans Text" w:hAnsi="Arial Nova Cond Light" w:cs="Google Sans Text"/>
                  <w:color w:val="0B57D0"/>
                  <w:sz w:val="20"/>
                  <w:szCs w:val="20"/>
                  <w:u w:val="single"/>
                </w:rPr>
                <w:t xml:space="preserve">www.westinghousenuclear.com</w:t>
              </w:r>
            </w:hyperlink>
            <w:r xmlns:w="http://schemas.openxmlformats.org/wordprocessingml/2006/main" w:rsidRPr="00C0063B">
              <w:rPr>
                <w:rFonts w:ascii="Arial Nova Cond Light" w:eastAsia="Google Sans Text" w:hAnsi="Arial Nova Cond Light" w:cs="Google Sans Text"/>
                <w:color w:val="0B57D0"/>
                <w:sz w:val="20"/>
                <w:szCs w:val="20"/>
                <w:u w:val="single"/>
              </w:rPr>
              <w:lastRenderedPageBreak xmlns:w="http://schemas.openxmlformats.org/wordprocessingml/2006/main"/>
            </w:r>
            <w:hyperlink xmlns:w="http://schemas.openxmlformats.org/wordprocessingml/2006/main" xmlns:r="http://schemas.openxmlformats.org/officeDocument/2006/relationships" r:id="rId8">
              <w:r xmlns:w="http://schemas.openxmlformats.org/wordprocessingml/2006/main" w:rsidRPr="00C0063B">
                <w:rPr>
                  <w:rFonts w:ascii="Arial Nova Cond Light" w:eastAsia="Google Sans Text" w:hAnsi="Arial Nova Cond Light" w:cs="Google Sans Text"/>
                  <w:color w:val="0B57D0"/>
                  <w:sz w:val="20"/>
                  <w:szCs w:val="20"/>
                  <w:u w:val="single"/>
                </w:rPr>
                <w:t xml:space="preserve">​</w:t>
              </w:r>
            </w:hyperlink>
          </w:p>
        </w:tc>
      </w:tr>
      <w:tr w:rsidR="00C0063B" w:rsidRPr="00C0063B" w14:paraId="19C4005C" w14:textId="77777777" w:rsidTr="00C0063B">
        <w:tc>
          <w:tcPr>
            <w:tcW w:w="802" w:type="pct"/>
          </w:tcPr>
          <w:p w14:paraId="181CAF1E"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lastRenderedPageBreak xmlns:w="http://schemas.openxmlformats.org/wordprocessingml/2006/main"/>
            </w:r>
            <w:r xmlns:w="http://schemas.openxmlformats.org/wordprocessingml/2006/main" w:rsidRPr="00C0063B">
              <w:rPr>
                <w:rFonts w:ascii="Arial Nova Cond Light" w:eastAsia="Google Sans Text" w:hAnsi="Arial Nova Cond Light" w:cs="Google Sans Text"/>
                <w:color w:val="1B1C1D"/>
                <w:sz w:val="20"/>
                <w:szCs w:val="20"/>
              </w:rPr>
              <w:t xml:space="preserve">China National Nuclear Corporation (CNNC)</w:t>
            </w:r>
          </w:p>
        </w:tc>
        <w:tc>
          <w:tcPr>
            <w:tcW w:w="815" w:type="pct"/>
          </w:tcPr>
          <w:p w14:paraId="1F76DD81"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Participated in the tender for PTI; potential supplier (HPR1000).</w:t>
            </w:r>
          </w:p>
        </w:tc>
        <w:tc>
          <w:tcPr>
            <w:tcW w:w="661" w:type="pct"/>
          </w:tcPr>
          <w:p w14:paraId="2E1C5BE8"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[No manager information in reports]</w:t>
            </w:r>
          </w:p>
        </w:tc>
        <w:tc>
          <w:tcPr>
            <w:tcW w:w="660" w:type="pct"/>
          </w:tcPr>
          <w:p w14:paraId="10FE960C"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No. 1 Nansanxiang, Sanlihe, Xicheng district, Beijing, PR China</w:t>
            </w:r>
          </w:p>
        </w:tc>
        <w:tc>
          <w:tcPr>
            <w:tcW w:w="609" w:type="pct"/>
          </w:tcPr>
          <w:p w14:paraId="11CEF7C5"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+86 10 6851 2211</w:t>
            </w:r>
          </w:p>
        </w:tc>
        <w:tc>
          <w:tcPr>
            <w:tcW w:w="762" w:type="pct"/>
          </w:tcPr>
          <w:p w14:paraId="4C03F6E4" w14:textId="77777777" w:rsidR="00EF2137" w:rsidRPr="00C0063B" w:rsidRDefault="00000000">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1B1C1D"/>
                <w:sz w:val="20"/>
                <w:szCs w:val="20"/>
              </w:rPr>
            </w:pPr>
            <w:r xmlns:w="http://schemas.openxmlformats.org/wordprocessingml/2006/main" w:rsidRPr="00C0063B">
              <w:rPr>
                <w:rFonts w:ascii="Arial Nova Cond Light" w:eastAsia="Google Sans Text" w:hAnsi="Arial Nova Cond Light" w:cs="Google Sans Text"/>
                <w:color w:val="1B1C1D"/>
                <w:sz w:val="20"/>
                <w:szCs w:val="20"/>
              </w:rPr>
              <w:t xml:space="preserve">cnnc@cnnc.com.cn</w:t>
            </w:r>
          </w:p>
        </w:tc>
        <w:tc>
          <w:tcPr>
            <w:tcW w:w="691" w:type="pct"/>
          </w:tcPr>
          <w:p w14:paraId="4F2356C1" w14:textId="77777777" w:rsidR="00EF2137" w:rsidRPr="00C0063B" w:rsidRDefault="00EF2137">
            <w:pPr xmlns:w="http://schemas.openxmlformats.org/wordprocessingml/2006/main">
              <w:pBdr>
                <w:top w:val="nil"/>
                <w:left w:val="nil"/>
                <w:bottom w:val="nil"/>
                <w:right w:val="nil"/>
                <w:between w:val="nil"/>
              </w:pBdr>
              <w:spacing w:before="120" w:after="120" w:line="275" w:lineRule="auto"/>
              <w:rPr>
                <w:rFonts w:ascii="Arial Nova Cond Light" w:eastAsia="Google Sans Text" w:hAnsi="Arial Nova Cond Light" w:cs="Google Sans Text"/>
                <w:color w:val="0B57D0"/>
                <w:sz w:val="20"/>
                <w:szCs w:val="20"/>
                <w:u w:val="single"/>
              </w:rPr>
            </w:pPr>
            <w:hyperlink xmlns:w="http://schemas.openxmlformats.org/wordprocessingml/2006/main" xmlns:r="http://schemas.openxmlformats.org/officeDocument/2006/relationships" r:id="rId9">
              <w:r xmlns:w="http://schemas.openxmlformats.org/wordprocessingml/2006/main" w:rsidRPr="00C0063B">
                <w:rPr>
                  <w:rFonts w:ascii="Arial Nova Cond Light" w:eastAsia="Google Sans Text" w:hAnsi="Arial Nova Cond Light" w:cs="Google Sans Text"/>
                  <w:color w:val="0B57D0"/>
                  <w:sz w:val="20"/>
                  <w:szCs w:val="20"/>
                  <w:u w:val="single"/>
                </w:rPr>
                <w:t xml:space="preserve">www.cnnc.com</w:t>
              </w:r>
            </w:hyperlink>
          </w:p>
        </w:tc>
      </w:tr>
    </w:tbl>
    <w:p w14:paraId="0F4E7F86" w14:textId="77777777" w:rsidR="00EF2137" w:rsidRDefault="00000000">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Note:</w:t>
      </w:r>
    </w:p>
    <w:p w14:paraId="517EF0B3" w14:textId="77777777" w:rsidR="00EF2137" w:rsidRDefault="00000000">
      <w:pPr xmlns:w="http://schemas.openxmlformats.org/wordprocessingml/2006/main">
        <w:numPr>
          <w:ilvl w:val="0"/>
          <w:numId w:val="1"/>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color w:val="1B1C1D"/>
        </w:rPr>
        <w:t xml:space="preserve">Five ministries: </w:t>
      </w:r>
      <w:r xmlns:w="http://schemas.openxmlformats.org/wordprocessingml/2006/main">
        <w:rPr>
          <w:rFonts w:ascii="Google Sans Text" w:eastAsia="Google Sans Text" w:hAnsi="Google Sans Text" w:cs="Google Sans Text"/>
          <w:color w:val="1B1C1D"/>
        </w:rPr>
        <w:t xml:space="preserve">The reports explicitly mention the Ministry of Mining and Energy and the Ministry of Environmental Protection. The exact list of all five ministries that signed the MoU is not disclosed in public sources; they may also include the Ministry of Education (previously including Science </w:t>
      </w:r>
      <w:r xmlns:w="http://schemas.openxmlformats.org/wordprocessingml/2006/main">
        <w:rPr>
          <w:rFonts w:ascii="Google Sans Text" w:eastAsia="Google Sans Text" w:hAnsi="Google Sans Text" w:cs="Google Sans Text"/>
          <w:color w:val="575B5F"/>
          <w:sz w:val="24"/>
          <w:szCs w:val="24"/>
          <w:vertAlign w:val="superscript"/>
        </w:rPr>
        <w:t xml:space="preserve">25 </w:t>
      </w:r>
      <w:r xmlns:w="http://schemas.openxmlformats.org/wordprocessingml/2006/main">
        <w:rPr>
          <w:rFonts w:ascii="Google Sans Text" w:eastAsia="Google Sans Text" w:hAnsi="Google Sans Text" w:cs="Google Sans Text"/>
          <w:color w:val="1B1C1D"/>
        </w:rPr>
        <w:t xml:space="preserve">), the Ministry of Finance, and the Ministry of Infrastructure.</w:t>
      </w:r>
    </w:p>
    <w:p w14:paraId="0DE4E5A3" w14:textId="77777777" w:rsidR="00EF2137" w:rsidRDefault="00000000">
      <w:pPr xmlns:w="http://schemas.openxmlformats.org/wordprocessingml/2006/main">
        <w:numPr>
          <w:ilvl w:val="0"/>
          <w:numId w:val="1"/>
        </w:numPr>
        <w:pBdr>
          <w:top w:val="nil"/>
          <w:left w:val="nil"/>
          <w:bottom w:val="nil"/>
          <w:right w:val="nil"/>
          <w:between w:val="nil"/>
        </w:pBdr>
        <w:spacing w:after="120" w:line="275" w:lineRule="auto"/>
      </w:pPr>
      <w:r xmlns:w="http://schemas.openxmlformats.org/wordprocessingml/2006/main">
        <w:rPr>
          <w:rFonts w:ascii="Google Sans Text" w:eastAsia="Google Sans Text" w:hAnsi="Google Sans Text" w:cs="Google Sans Text"/>
          <w:b/>
          <w:color w:val="1B1C1D"/>
        </w:rPr>
        <w:t xml:space="preserve">Academic Institutions (20): </w:t>
      </w:r>
      <w:r xmlns:w="http://schemas.openxmlformats.org/wordprocessingml/2006/main">
        <w:rPr>
          <w:rFonts w:ascii="Google Sans Text" w:eastAsia="Google Sans Text" w:hAnsi="Google Sans Text" w:cs="Google Sans Text"/>
          <w:color w:val="1B1C1D"/>
        </w:rPr>
        <w:t xml:space="preserve">Only those explicitly named in the reports are included. Twenty organizations participate in the MoU, highlighting that the STP encompasses a much wider range of institutions than indicated in the table. </w:t>
      </w:r>
      <w:r xmlns:w="http://schemas.openxmlformats.org/wordprocessingml/2006/main">
        <w:rPr>
          <w:rFonts w:ascii="Google Sans Text" w:eastAsia="Google Sans Text" w:hAnsi="Google Sans Text" w:cs="Google Sans Text"/>
          <w:color w:val="575B5F"/>
          <w:sz w:val="24"/>
          <w:szCs w:val="24"/>
          <w:vertAlign w:val="superscript"/>
        </w:rPr>
        <w:t xml:space="preserve">27</w:t>
      </w:r>
    </w:p>
    <w:sectPr w:rsidR="00EF2137" w:rsidSect="00C0063B">
      <w:headerReference w:type="default" r:id="rId10"/>
      <w:footerReference w:type="even" r:id="rId11"/>
      <w:footerReference w:type="default" r:id="rId12"/>
      <w:pgSz w:w="15840" w:h="12240" w:orient="landscape"/>
      <w:pgMar w:top="720" w:right="720" w:bottom="720" w:left="72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DDB5A" w14:textId="77777777" w:rsidR="00D03175" w:rsidRDefault="00D03175" w:rsidP="00CF2A1B">
      <w:r>
        <w:separator/>
      </w:r>
    </w:p>
  </w:endnote>
  <w:endnote w:type="continuationSeparator" w:id="0">
    <w:p w14:paraId="14696610" w14:textId="77777777" w:rsidR="00D03175" w:rsidRDefault="00D03175" w:rsidP="00CF2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D05FCA37-858F-0649-8AE2-CE7B3A48C6B8}"/>
    <w:embedBold r:id="rId2" w:fontKey="{5DF3A4A0-F85F-C045-9A2D-D71FAA8F534A}"/>
  </w:font>
  <w:font w:name="Times New Roman">
    <w:panose1 w:val="02020603050405020304"/>
    <w:charset w:val="00"/>
    <w:family w:val="roman"/>
    <w:pitch w:val="variable"/>
    <w:sig w:usb0="E0002EFF" w:usb1="C000785B" w:usb2="00000009" w:usb3="00000000" w:csb0="000001FF" w:csb1="00000000"/>
    <w:embedRegular r:id="rId3" w:fontKey="{B922D9FF-F70A-7444-8E98-AFCF3655D549}"/>
  </w:font>
  <w:font w:name="Georgia">
    <w:panose1 w:val="02040502050405020303"/>
    <w:charset w:val="00"/>
    <w:family w:val="roman"/>
    <w:pitch w:val="variable"/>
    <w:sig w:usb0="00000287" w:usb1="00000000" w:usb2="00000000" w:usb3="00000000" w:csb0="0000009F" w:csb1="00000000"/>
    <w:embedRegular r:id="rId4" w:fontKey="{736AD4B1-F02C-CB49-97F9-DB00FB3A2F6E}"/>
    <w:embedItalic r:id="rId5" w:fontKey="{DD1CCB43-83CE-E74F-BB25-DE393DE4A52B}"/>
  </w:font>
  <w:font w:name="Google Sans">
    <w:altName w:val="Calibri"/>
    <w:panose1 w:val="020B0604020202020204"/>
    <w:charset w:val="00"/>
    <w:family w:val="auto"/>
    <w:pitch w:val="default"/>
    <w:embedRegular r:id="rId6" w:fontKey="{7B302CAB-7A28-D946-AFBC-3F3D68C226EC}"/>
    <w:embedBold r:id="rId7" w:fontKey="{06329416-190C-5743-A53D-41D61BC4BA18}"/>
  </w:font>
  <w:font w:name="Arial Nova Cond Light">
    <w:panose1 w:val="020B0306020202020204"/>
    <w:charset w:val="00"/>
    <w:family w:val="swiss"/>
    <w:pitch w:val="variable"/>
    <w:sig w:usb0="0000028F" w:usb1="00000002" w:usb2="00000000" w:usb3="00000000" w:csb0="0000019F" w:csb1="00000000"/>
    <w:embedRegular r:id="rId8" w:fontKey="{3840D47F-03A3-3B42-84AF-809567DB8D6C}"/>
    <w:embedBold r:id="rId9" w:fontKey="{D886C623-06B4-424C-A3BE-F22CB0CBB554}"/>
  </w:font>
  <w:font w:name="Google Sans Text">
    <w:altName w:val="Calibri"/>
    <w:panose1 w:val="020B0604020202020204"/>
    <w:charset w:val="00"/>
    <w:family w:val="auto"/>
    <w:pitch w:val="default"/>
    <w:embedRegular r:id="rId10" w:fontKey="{6B89EF2E-5E96-7B40-A741-8019291E60E9}"/>
    <w:embedBold r:id="rId11" w:fontKey="{DD775251-4DB4-EE4F-9087-159A67094BFD}"/>
  </w:font>
  <w:font w:name="Calibri Light">
    <w:panose1 w:val="020F0302020204030204"/>
    <w:charset w:val="00"/>
    <w:family w:val="swiss"/>
    <w:pitch w:val="variable"/>
    <w:sig w:usb0="E0002AFF" w:usb1="C000247B" w:usb2="00000009" w:usb3="00000000" w:csb0="000001FF" w:csb1="00000000"/>
    <w:embedRegular r:id="rId12" w:fontKey="{2CA4F60E-EAEE-EF40-9923-780A76F678A4}"/>
  </w:font>
  <w:font w:name="Calibri">
    <w:panose1 w:val="020F0502020204030204"/>
    <w:charset w:val="00"/>
    <w:family w:val="swiss"/>
    <w:pitch w:val="variable"/>
    <w:sig w:usb0="E4002EFF" w:usb1="C200247B" w:usb2="00000009" w:usb3="00000000" w:csb0="000001FF" w:csb1="00000000"/>
    <w:embedRegular r:id="rId13" w:fontKey="{B91C5497-3297-6941-9334-7EBC581AA7E5}"/>
  </w:font>
  <w:font w:name="Cambria">
    <w:panose1 w:val="02040503050406030204"/>
    <w:charset w:val="00"/>
    <w:family w:val="roman"/>
    <w:pitch w:val="variable"/>
    <w:sig w:usb0="E00006FF" w:usb1="420024FF" w:usb2="02000000" w:usb3="00000000" w:csb0="0000019F" w:csb1="00000000"/>
    <w:embedRegular r:id="rId14" w:fontKey="{8CB7F05A-4BE0-8B40-AB75-503D5AD1EC2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b"/>
      </w:rPr>
      <w:id w:val="1544550393"/>
      <w:docPartObj>
        <w:docPartGallery w:val="Page Numbers (Bottom of Page)"/>
        <w:docPartUnique/>
      </w:docPartObj>
    </w:sdtPr>
    <w:sdtContent>
      <w:p w14:paraId="36FB7980" w14:textId="4F7A9DE2" w:rsidR="00CF2A1B" w:rsidRDefault="00CF2A1B" w:rsidP="003D1BE1">
        <w:pPr>
          <w:pStyle w:val="a9"/>
          <w:framePr w:wrap="none" w:vAnchor="text" w:hAnchor="margin" w:xAlign="right" w:y="1"/>
          <w:rPr>
            <w:rStyle w:val="ab"/>
          </w:rPr>
        </w:pPr>
        <w:r>
          <w:rPr>
            <w:rStyle w:val="ab"/>
          </w:rPr>
          <w:fldChar w:fldCharType="begin"/>
        </w:r>
        <w:r>
          <w:rPr>
            <w:rStyle w:val="ab"/>
          </w:rPr>
          <w:instrText xml:space="preserve"> PAGE </w:instrText>
        </w:r>
        <w:r>
          <w:rPr>
            <w:rStyle w:val="ab"/>
          </w:rPr>
          <w:fldChar w:fldCharType="separate"/>
        </w:r>
        <w:r>
          <w:rPr>
            <w:rStyle w:val="ab"/>
          </w:rPr>
          <w:fldChar w:fldCharType="end"/>
        </w:r>
      </w:p>
    </w:sdtContent>
  </w:sdt>
  <w:p w14:paraId="6E9CF9B9" w14:textId="77777777" w:rsidR="00CF2A1B" w:rsidRDefault="00CF2A1B" w:rsidP="00CF2A1B">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b"/>
      </w:rPr>
      <w:id w:val="-2012056295"/>
      <w:docPartObj>
        <w:docPartGallery w:val="Page Numbers (Bottom of Page)"/>
        <w:docPartUnique/>
      </w:docPartObj>
    </w:sdtPr>
    <w:sdtContent>
      <w:p w14:paraId="387A90AA" w14:textId="51564144" w:rsidR="00CF2A1B" w:rsidRDefault="00CF2A1B" w:rsidP="003D1BE1">
        <w:pPr xmlns:w="http://schemas.openxmlformats.org/wordprocessingml/2006/main">
          <w:pStyle w:val="a9"/>
          <w:framePr w:wrap="none" w:vAnchor="text" w:hAnchor="margin" w:xAlign="right" w:y="1"/>
          <w:rPr>
            <w:rStyle w:val="ab"/>
          </w:rPr>
        </w:pPr>
        <w:r xmlns:w="http://schemas.openxmlformats.org/wordprocessingml/2006/main">
          <w:rPr>
            <w:rStyle w:val="ab"/>
          </w:rPr>
          <w:fldChar xmlns:w="http://schemas.openxmlformats.org/wordprocessingml/2006/main" w:fldCharType="begin"/>
        </w:r>
        <w:r xmlns:w="http://schemas.openxmlformats.org/wordprocessingml/2006/main">
          <w:rPr>
            <w:rStyle w:val="ab"/>
          </w:rPr>
          <w:instrText xmlns:w="http://schemas.openxmlformats.org/wordprocessingml/2006/main" xml:space="preserve"> PAGE </w:instrText>
        </w:r>
        <w:r xmlns:w="http://schemas.openxmlformats.org/wordprocessingml/2006/main">
          <w:rPr>
            <w:rStyle w:val="ab"/>
          </w:rPr>
          <w:fldChar xmlns:w="http://schemas.openxmlformats.org/wordprocessingml/2006/main" w:fldCharType="separate"/>
        </w:r>
        <w:r xmlns:w="http://schemas.openxmlformats.org/wordprocessingml/2006/main">
          <w:rPr>
            <w:rStyle w:val="ab"/>
            <w:noProof/>
          </w:rPr>
          <w:t xml:space="preserve">1</w:t>
        </w:r>
        <w:r xmlns:w="http://schemas.openxmlformats.org/wordprocessingml/2006/main">
          <w:rPr>
            <w:rStyle w:val="ab"/>
          </w:rPr>
          <w:fldChar xmlns:w="http://schemas.openxmlformats.org/wordprocessingml/2006/main" w:fldCharType="end"/>
        </w:r>
      </w:p>
    </w:sdtContent>
  </w:sdt>
  <w:p w14:paraId="4CB1E031" w14:textId="77777777" w:rsidR="00CF2A1B" w:rsidRPr="00177B08" w:rsidRDefault="00CF2A1B" w:rsidP="00CF2A1B">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0727B2B1" w14:textId="52EC4B02" w:rsidR="00CF2A1B" w:rsidRPr="00CF2A1B" w:rsidRDefault="00CF2A1B" w:rsidP="00CF2A1B">
    <w:pPr xmlns:w="http://schemas.openxmlformats.org/wordprocessingml/2006/main">
      <w:pStyle w:val="a9"/>
      <w:ind w:right="360"/>
      <w:rPr>
        <w:lang w:val="ru-RU"/>
      </w:rPr>
    </w:pPr>
    <w:r xmlns:w="http://schemas.openxmlformats.org/wordprocessingml/2006/main" w:rsidRPr="00177B08">
      <w:rPr>
        <w:rFonts w:ascii="Calibri Light" w:eastAsia="Times New Roman" w:hAnsi="Calibri Light" w:cs="Calibri Light"/>
        <w:sz w:val="16"/>
        <w:szCs w:val="16"/>
        <w:lang w:val="en-US"/>
      </w:rPr>
      <w:t xml:space="preserve">© Copyright CONSILIO B CONSULTING BUREAU BEOGRAD, 2025. All rights reserved. Reproduction, adaptation, or translation without permission is prohibited except as allowed under the international copyright laws. All the text, content, graphics, design, and other works are the copyrighted works of CONSILIO B,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DF933" w14:textId="77777777" w:rsidR="00D03175" w:rsidRDefault="00D03175" w:rsidP="00CF2A1B">
      <w:r>
        <w:separator/>
      </w:r>
    </w:p>
  </w:footnote>
  <w:footnote w:type="continuationSeparator" w:id="0">
    <w:p w14:paraId="0E637856" w14:textId="77777777" w:rsidR="00D03175" w:rsidRDefault="00D03175" w:rsidP="00CF2A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68583" w14:textId="031F61CC" w:rsidR="00CF2A1B" w:rsidRDefault="00CF2A1B">
    <w:pPr>
      <w:pStyle w:val="a7"/>
    </w:pPr>
    <w:r w:rsidRPr="002D0DD2">
      <w:rPr>
        <w:noProof/>
      </w:rPr>
      <w:drawing>
        <wp:anchor distT="0" distB="0" distL="114300" distR="114300" simplePos="0" relativeHeight="251659264" behindDoc="0" locked="0" layoutInCell="1" allowOverlap="1" wp14:anchorId="65F77392" wp14:editId="09DB2402">
          <wp:simplePos x="0" y="0"/>
          <wp:positionH relativeFrom="column">
            <wp:posOffset>3653444</wp:posOffset>
          </wp:positionH>
          <wp:positionV relativeFrom="paragraph">
            <wp:posOffset>0</wp:posOffset>
          </wp:positionV>
          <wp:extent cx="2288369" cy="448798"/>
          <wp:effectExtent l="0" t="0" r="0" b="0"/>
          <wp:wrapNone/>
          <wp:docPr id="20077954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795465" name=""/>
                  <pic:cNvPicPr/>
                </pic:nvPicPr>
                <pic:blipFill rotWithShape="1">
                  <a:blip r:embed="rId1"/>
                  <a:srcRect b="6459"/>
                  <a:stretch/>
                </pic:blipFill>
                <pic:spPr bwMode="auto">
                  <a:xfrm>
                    <a:off x="0" y="0"/>
                    <a:ext cx="2288369" cy="4487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DD50E7"/>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113592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137"/>
    <w:rsid w:val="00603180"/>
    <w:rsid w:val="00C0063B"/>
    <w:rsid w:val="00CF2A1B"/>
    <w:rsid w:val="00D03175"/>
    <w:rsid w:val="00EF2137"/>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decimalSymbol w:val=","/>
  <w:listSeparator w:val=";"/>
  <w14:docId w14:val="6F4C601C"/>
  <w15:docId w15:val="{94ED0C2B-D2F0-C545-8D7C-44C957FF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semiHidden/>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styleId="a6">
    <w:name w:val="Table Grid"/>
    <w:basedOn w:val="a1"/>
    <w:uiPriority w:val="39"/>
    <w:rsid w:val="00C00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CF2A1B"/>
    <w:pPr>
      <w:tabs>
        <w:tab w:val="center" w:pos="4513"/>
        <w:tab w:val="right" w:pos="9026"/>
      </w:tabs>
    </w:pPr>
  </w:style>
  <w:style w:type="character" w:customStyle="1" w:styleId="a8">
    <w:name w:val="Верхний колонтитул Знак"/>
    <w:basedOn w:val="a0"/>
    <w:link w:val="a7"/>
    <w:uiPriority w:val="99"/>
    <w:rsid w:val="00CF2A1B"/>
  </w:style>
  <w:style w:type="paragraph" w:styleId="a9">
    <w:name w:val="footer"/>
    <w:basedOn w:val="a"/>
    <w:link w:val="aa"/>
    <w:uiPriority w:val="99"/>
    <w:unhideWhenUsed/>
    <w:qFormat/>
    <w:rsid w:val="00CF2A1B"/>
    <w:pPr>
      <w:tabs>
        <w:tab w:val="center" w:pos="4513"/>
        <w:tab w:val="right" w:pos="9026"/>
      </w:tabs>
    </w:pPr>
  </w:style>
  <w:style w:type="character" w:customStyle="1" w:styleId="aa">
    <w:name w:val="Нижний колонтитул Знак"/>
    <w:basedOn w:val="a0"/>
    <w:link w:val="a9"/>
    <w:uiPriority w:val="99"/>
    <w:rsid w:val="00CF2A1B"/>
  </w:style>
  <w:style w:type="character" w:styleId="ab">
    <w:name w:val="page number"/>
    <w:basedOn w:val="a0"/>
    <w:uiPriority w:val="99"/>
    <w:semiHidden/>
    <w:unhideWhenUsed/>
    <w:rsid w:val="00CF2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westinghousenuclear.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gis-group.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nnc.com"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691</Words>
  <Characters>3944</Characters>
  <Application>Microsoft Office Word</Application>
  <DocSecurity>0</DocSecurity>
  <Lines>32</Lines>
  <Paragraphs>9</Paragraphs>
  <ScaleCrop>false</ScaleCrop>
  <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3</cp:revision>
  <dcterms:created xsi:type="dcterms:W3CDTF">2025-10-02T01:38:00Z</dcterms:created>
  <dcterms:modified xsi:type="dcterms:W3CDTF">2025-10-09T14:26:00Z</dcterms:modified>
</cp:coreProperties>
</file>