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D6D2" w14:textId="77777777" w:rsidR="002D48FF" w:rsidRPr="002D48FF" w:rsidRDefault="002D48FF" w:rsidP="002D48FF">
      <w:pPr>
        <w:spacing w:before="120" w:after="120" w:line="240" w:lineRule="auto"/>
        <w:jc w:val="both"/>
        <w:outlineLvl w:val="0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</w:p>
    <w:p w14:paraId="214BA851" w14:textId="32E563B5" w:rsidR="002D48FF" w:rsidRPr="002D48FF" w:rsidRDefault="002D48FF" w:rsidP="002D48FF">
      <w:pPr>
        <w:spacing w:before="120" w:after="120" w:line="240" w:lineRule="auto"/>
        <w:jc w:val="both"/>
        <w:outlineLvl w:val="0"/>
        <w:rPr>
          <w:rFonts w:ascii="Calibri" w:eastAsia="Times New Roman" w:hAnsi="Calibri" w:cs="Calibri"/>
          <w:b/>
          <w:bCs/>
          <w:color w:val="1F1F1F"/>
          <w:kern w:val="36"/>
          <w:sz w:val="48"/>
          <w:szCs w:val="48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36"/>
          <w:sz w:val="48"/>
          <w:szCs w:val="48"/>
          <w:lang w:val="ru-BG" w:eastAsia="ru-RU"/>
          <w14:ligatures w14:val="none"/>
        </w:rPr>
        <w:t>Serbia’s Nuclear Gambit: Between Ambitions and Reality</w:t>
      </w:r>
    </w:p>
    <w:p w14:paraId="6E84DD1A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i/>
          <w:iCs/>
          <w:color w:val="1F1F1F"/>
          <w:kern w:val="0"/>
          <w:bdr w:val="none" w:sz="0" w:space="0" w:color="auto" w:frame="1"/>
          <w:lang w:val="ru-BG" w:eastAsia="ru-RU"/>
          <w14:ligatures w14:val="none"/>
        </w:rPr>
        <w:t>Editorial reflections on the “Fifth Barrier” and the trap of gigantism</w:t>
      </w:r>
    </w:p>
    <w:p w14:paraId="7A1961D4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</w:p>
    <w:p w14:paraId="7A2318B1" w14:textId="10F3F562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Serbia has officially signaled its course toward the development of nuclear energy. After decades of a legislative moratorium, the country is attempting to jump onto the departing train of the global energy transition. However, behind the loud headlines regarding partnerships with world leaders lies a complex set of challenges that demand cold, objective analysis.</w:t>
      </w:r>
    </w:p>
    <w:p w14:paraId="2F772DDF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  <w:t>1. Stuck in the Ruts: Systemic Inertia</w:t>
      </w:r>
    </w:p>
    <w:p w14:paraId="0A278953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The metaphor of a “stalled car” at the start of a nuclear program accurately describes the current situation. Lifting the moratorium is merely releasing the handbrake. Ahead lies a total absence of a modern regulatory framework and a critical shortage of domestic expertise. Attempting to “push” this process through administrative methods without establishing a fundamental educational basis may result in spinning wheels and colossal expenditures without forward motion.</w:t>
      </w:r>
    </w:p>
    <w:p w14:paraId="29CBE94E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  <w:t>2. The Rickover Filter: Declarations vs. Reality</w:t>
      </w:r>
    </w:p>
    <w:p w14:paraId="0EC21900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Admiral Rickover’s principles are cited today as the benchmark for safety. However, their application to Serbian realities raises significant questions. Rickover insisted on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absolute personal accountability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and the priority of safety over schedules and budgets.</w:t>
      </w:r>
    </w:p>
    <w:p w14:paraId="4745C94D" w14:textId="77777777" w:rsidR="002D48FF" w:rsidRPr="002D48FF" w:rsidRDefault="002D48FF" w:rsidP="002D48FF">
      <w:pPr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Is the modern bureaucratic system truly ready for a culture of “dissenting opinions”?</w:t>
      </w:r>
    </w:p>
    <w:p w14:paraId="5B486091" w14:textId="77777777" w:rsidR="002D48FF" w:rsidRPr="002D48FF" w:rsidRDefault="002D48FF" w:rsidP="002D48FF">
      <w:pPr>
        <w:numPr>
          <w:ilvl w:val="0"/>
          <w:numId w:val="1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Will safety principles become a mere annex to the contract under the pressure of political demands and time constraints?</w:t>
      </w:r>
    </w:p>
    <w:p w14:paraId="02AD9377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  <w:t>3. The Trap of Gigantism: Grid Analysis</w:t>
      </w:r>
    </w:p>
    <w:p w14:paraId="57FEE836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Choosing ultra-high-capacity units (such as the EPR-1200 or 1600 MW) appears technically risky for Serbia. Let us consider the raw data:</w:t>
      </w:r>
    </w:p>
    <w:p w14:paraId="691F515C" w14:textId="77777777" w:rsidR="002D48FF" w:rsidRPr="002D48FF" w:rsidRDefault="002D48FF" w:rsidP="002D48FF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Peak load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of the Serbian grid in winter is approximately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7–7.5 GW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, with an average load of around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5 GW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.</w:t>
      </w:r>
    </w:p>
    <w:p w14:paraId="71811CEC" w14:textId="77777777" w:rsidR="002D48FF" w:rsidRPr="002D48FF" w:rsidRDefault="002D48FF" w:rsidP="002D48FF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Commissioning a single unit with a capacity of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1.6 GW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means that approximately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30% of the country’s entire generation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will be concentrated at a single point.</w:t>
      </w:r>
    </w:p>
    <w:p w14:paraId="013F7629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This creates a critical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“N-1” contingency problem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. In the event of an emergency trip of such a giant, Serbia’s power system would instantly face a deficit that is virtually impossible to compensate for using domestic reserves. Instead of energy security, the country risks becoming dependent on imports during both planned and unplanned outages.</w:t>
      </w:r>
    </w:p>
    <w:p w14:paraId="7AA4B013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  <w:lastRenderedPageBreak/>
        <w:t>4. The Alternative: Decentralization as a Barrier</w:t>
      </w:r>
    </w:p>
    <w:p w14:paraId="1B03B70D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If we are discussing protection against the “outside world,” Small Modular Reactors (SMRs) appear far more logical for the Balkans:</w:t>
      </w:r>
    </w:p>
    <w:p w14:paraId="78922D2F" w14:textId="77777777" w:rsidR="002D48FF" w:rsidRPr="002D48FF" w:rsidRDefault="002D48FF" w:rsidP="002D48FF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Distributed Risk: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The loss of a single module (77 or 300 MW) will not collapse the entire power grid.</w:t>
      </w:r>
    </w:p>
    <w:p w14:paraId="1ADC5E82" w14:textId="77777777" w:rsidR="002D48FF" w:rsidRPr="002D48FF" w:rsidRDefault="002D48FF" w:rsidP="002D48FF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Stealth and Subsurface Placement: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Many SMR designs involve placing the reactor hall below ground level, which serves as a powerful passive element of the “Fifth Barrier.”</w:t>
      </w:r>
    </w:p>
    <w:p w14:paraId="1322736D" w14:textId="77777777" w:rsidR="002D48FF" w:rsidRPr="002D48FF" w:rsidRDefault="002D48FF" w:rsidP="002D48FF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Flexibility: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They are easier to protect locally and do not create such a high concentration of geopolitical weight in a single geographic location.</w:t>
      </w:r>
    </w:p>
    <w:p w14:paraId="2BB2DA0A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  <w:t>5. PTI and the Risk of “Vendor Lock-in”</w:t>
      </w:r>
    </w:p>
    <w:p w14:paraId="07638961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The involvement of the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EDF/Egis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consortium for Preliminary Technical Studies (PTI) critically narrows the room for maneuver. When the technical parameters of the site and grid integration are initially “tailored” to the standards of a single vendor, the subsequent international tender risks becoming a mere formality. The history of protracted projects like Olkiluoto-3 and Flamanville-3 serves as a reminder: the epithet “expensive but high quality” in the nuclear sector often translates to “catastrophically expensive and endless.”</w:t>
      </w:r>
    </w:p>
    <w:p w14:paraId="1099F641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1F1F1F"/>
          <w:kern w:val="0"/>
          <w:sz w:val="27"/>
          <w:szCs w:val="27"/>
          <w:lang w:val="ru-BG" w:eastAsia="ru-RU"/>
          <w14:ligatures w14:val="none"/>
        </w:rPr>
        <w:t>6. The “Fifth Barrier”: Safety from the World</w:t>
      </w:r>
    </w:p>
    <w:p w14:paraId="7D88CEF0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We are accustomed to discussing the protection of the environment from the NPP. However, 21st-century reality in the Balkans forces us to formulate the concept of the </w:t>
      </w:r>
      <w:r w:rsidRPr="002D48FF"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  <w:t>“Fifth Barrier of Safety.”</w:t>
      </w: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 xml:space="preserve"> This is not the concrete and steel of the containment structure, but a complex of measures designed to protect the plant from the outside world: cyberattacks, modern weaponry (drones), and political blackmail in an unstable region.</w:t>
      </w:r>
    </w:p>
    <w:p w14:paraId="0477B74A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  <w:t>In the Balkan context, an NPP ceases to be a mere energy facility and becomes an “inviolable fortress,” the maintenance and defense of which may prove more costly than the generation of electricity itself.</w:t>
      </w:r>
    </w:p>
    <w:p w14:paraId="7FBF4D26" w14:textId="3ACAE8D1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color w:val="1F1F1F"/>
          <w:kern w:val="0"/>
          <w:lang w:val="ru-BG" w:eastAsia="ru-RU"/>
          <w14:ligatures w14:val="none"/>
        </w:rPr>
      </w:pPr>
    </w:p>
    <w:p w14:paraId="68FF9EA4" w14:textId="77777777" w:rsidR="002D48FF" w:rsidRPr="002D48FF" w:rsidRDefault="002D48FF" w:rsidP="002D48FF">
      <w:pPr>
        <w:spacing w:before="120" w:after="120" w:line="240" w:lineRule="auto"/>
        <w:jc w:val="both"/>
        <w:outlineLvl w:val="2"/>
        <w:rPr>
          <w:rFonts w:ascii="Calibri" w:eastAsia="Times New Roman" w:hAnsi="Calibri" w:cs="Calibri"/>
          <w:b/>
          <w:bCs/>
          <w:color w:val="C00000"/>
          <w:kern w:val="0"/>
          <w:sz w:val="33"/>
          <w:szCs w:val="36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C00000"/>
          <w:kern w:val="0"/>
          <w:sz w:val="33"/>
          <w:szCs w:val="36"/>
          <w:lang w:val="ru-BG" w:eastAsia="ru-RU"/>
          <w14:ligatures w14:val="none"/>
        </w:rPr>
        <w:t>Question to the Expert Community:</w:t>
      </w:r>
    </w:p>
    <w:p w14:paraId="3175F2BD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30"/>
          <w:szCs w:val="36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C00000"/>
          <w:kern w:val="0"/>
          <w:sz w:val="30"/>
          <w:szCs w:val="36"/>
          <w:bdr w:val="none" w:sz="0" w:space="0" w:color="auto" w:frame="1"/>
          <w:lang w:val="ru-BG" w:eastAsia="ru-RU"/>
          <w14:ligatures w14:val="none"/>
        </w:rPr>
        <w:t>Is it possible, within the framework of modern international law and institutions (IAEA, UN), to create a legal and physical “Fifth Barrier” that would guarantee the total extraterritoriality and inviolability of an NPP in geopolitically unstable regions? Or does the construction of gigawatt-class units in the Balkans inevitably turn them into hostages of high politics and targets for external influence?</w:t>
      </w:r>
    </w:p>
    <w:p w14:paraId="14EE0B7D" w14:textId="77777777" w:rsidR="002D48FF" w:rsidRPr="002D48FF" w:rsidRDefault="002D48FF" w:rsidP="002D48FF">
      <w:pPr>
        <w:spacing w:before="120" w:after="12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30"/>
          <w:szCs w:val="36"/>
          <w:lang w:val="ru-BG" w:eastAsia="ru-RU"/>
          <w14:ligatures w14:val="none"/>
        </w:rPr>
      </w:pPr>
      <w:r w:rsidRPr="002D48FF">
        <w:rPr>
          <w:rFonts w:ascii="Calibri" w:eastAsia="Times New Roman" w:hAnsi="Calibri" w:cs="Calibri"/>
          <w:b/>
          <w:bCs/>
          <w:color w:val="C00000"/>
          <w:kern w:val="0"/>
          <w:sz w:val="30"/>
          <w:szCs w:val="36"/>
          <w:lang w:val="ru-BG" w:eastAsia="ru-RU"/>
          <w14:ligatures w14:val="none"/>
        </w:rPr>
        <w:lastRenderedPageBreak/>
        <w:t xml:space="preserve">We are finalizing a major study entitled </w:t>
      </w:r>
      <w:r w:rsidRPr="002D48FF">
        <w:rPr>
          <w:rFonts w:ascii="Calibri" w:eastAsia="Times New Roman" w:hAnsi="Calibri" w:cs="Calibri"/>
          <w:b/>
          <w:bCs/>
          <w:color w:val="C00000"/>
          <w:kern w:val="0"/>
          <w:sz w:val="30"/>
          <w:szCs w:val="36"/>
          <w:bdr w:val="none" w:sz="0" w:space="0" w:color="auto" w:frame="1"/>
          <w:lang w:val="ru-BG" w:eastAsia="ru-RU"/>
          <w14:ligatures w14:val="none"/>
        </w:rPr>
        <w:t>THE FIFTH BARRIER OF SAFETY</w:t>
      </w:r>
      <w:r w:rsidRPr="002D48FF">
        <w:rPr>
          <w:rFonts w:ascii="Calibri" w:eastAsia="Times New Roman" w:hAnsi="Calibri" w:cs="Calibri"/>
          <w:b/>
          <w:bCs/>
          <w:color w:val="C00000"/>
          <w:kern w:val="0"/>
          <w:sz w:val="30"/>
          <w:szCs w:val="36"/>
          <w:lang w:val="ru-BG" w:eastAsia="ru-RU"/>
          <w14:ligatures w14:val="none"/>
        </w:rPr>
        <w:t>, and your professional opinion is more important to us today than ever before.</w:t>
      </w:r>
    </w:p>
    <w:p w14:paraId="73F9B0B0" w14:textId="77777777" w:rsidR="00D56F1D" w:rsidRPr="002D48FF" w:rsidRDefault="00D56F1D" w:rsidP="002D48FF">
      <w:pPr>
        <w:spacing w:before="120" w:after="120"/>
        <w:jc w:val="both"/>
        <w:rPr>
          <w:rFonts w:ascii="Calibri" w:eastAsia="Times New Roman" w:hAnsi="Calibri" w:cs="Calibri"/>
          <w:b/>
          <w:bCs/>
          <w:color w:val="1F1F1F"/>
          <w:kern w:val="0"/>
          <w:bdr w:val="none" w:sz="0" w:space="0" w:color="auto" w:frame="1"/>
          <w:lang w:val="ru-BG" w:eastAsia="ru-RU"/>
          <w14:ligatures w14:val="none"/>
        </w:rPr>
      </w:pPr>
    </w:p>
    <w:p w14:paraId="186669E9" w14:textId="77777777" w:rsidR="002D48FF" w:rsidRPr="002D48FF" w:rsidRDefault="002D48FF" w:rsidP="002D48FF">
      <w:pPr>
        <w:spacing w:before="120" w:after="120"/>
        <w:jc w:val="both"/>
        <w:rPr>
          <w:rFonts w:ascii="Calibri" w:hAnsi="Calibri" w:cs="Calibri"/>
          <w:lang w:val="ru-BG"/>
        </w:rPr>
      </w:pPr>
    </w:p>
    <w:sectPr w:rsidR="002D48FF" w:rsidRPr="002D48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D5E6" w14:textId="77777777" w:rsidR="00E27D02" w:rsidRDefault="00E27D02" w:rsidP="002D48FF">
      <w:pPr>
        <w:spacing w:after="0" w:line="240" w:lineRule="auto"/>
      </w:pPr>
      <w:r>
        <w:separator/>
      </w:r>
    </w:p>
  </w:endnote>
  <w:endnote w:type="continuationSeparator" w:id="0">
    <w:p w14:paraId="24F618DD" w14:textId="77777777" w:rsidR="00E27D02" w:rsidRDefault="00E27D02" w:rsidP="002D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B483" w14:textId="77777777" w:rsidR="00E27D02" w:rsidRDefault="00E27D02" w:rsidP="002D48FF">
      <w:pPr>
        <w:spacing w:after="0" w:line="240" w:lineRule="auto"/>
      </w:pPr>
      <w:r>
        <w:separator/>
      </w:r>
    </w:p>
  </w:footnote>
  <w:footnote w:type="continuationSeparator" w:id="0">
    <w:p w14:paraId="533AFCE7" w14:textId="77777777" w:rsidR="00E27D02" w:rsidRDefault="00E27D02" w:rsidP="002D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05D4" w14:textId="5EAC5176" w:rsidR="002D48FF" w:rsidRDefault="002D48FF">
    <w:pPr>
      <w:pStyle w:val="ad"/>
    </w:pPr>
    <w:r w:rsidRPr="008A2167">
      <w:drawing>
        <wp:anchor distT="0" distB="0" distL="114300" distR="114300" simplePos="0" relativeHeight="251659264" behindDoc="0" locked="0" layoutInCell="1" allowOverlap="1" wp14:anchorId="13BDF6C2" wp14:editId="13E45191">
          <wp:simplePos x="0" y="0"/>
          <wp:positionH relativeFrom="column">
            <wp:posOffset>2571958</wp:posOffset>
          </wp:positionH>
          <wp:positionV relativeFrom="paragraph">
            <wp:posOffset>16510</wp:posOffset>
          </wp:positionV>
          <wp:extent cx="917575" cy="922655"/>
          <wp:effectExtent l="0" t="0" r="0" b="4445"/>
          <wp:wrapTopAndBottom/>
          <wp:docPr id="98416588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65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1757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E2799"/>
    <w:multiLevelType w:val="multilevel"/>
    <w:tmpl w:val="A17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47FBD"/>
    <w:multiLevelType w:val="multilevel"/>
    <w:tmpl w:val="712C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2045F"/>
    <w:multiLevelType w:val="multilevel"/>
    <w:tmpl w:val="B5C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524485">
    <w:abstractNumId w:val="1"/>
  </w:num>
  <w:num w:numId="2" w16cid:durableId="1676760488">
    <w:abstractNumId w:val="0"/>
  </w:num>
  <w:num w:numId="3" w16cid:durableId="2977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FF"/>
    <w:rsid w:val="00070FF1"/>
    <w:rsid w:val="000C616C"/>
    <w:rsid w:val="002D48FF"/>
    <w:rsid w:val="004B6A0F"/>
    <w:rsid w:val="00603CE8"/>
    <w:rsid w:val="00D01789"/>
    <w:rsid w:val="00D56F1D"/>
    <w:rsid w:val="00E2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47D2"/>
  <w15:chartTrackingRefBased/>
  <w15:docId w15:val="{0C0507F8-F210-7F4F-A676-FF5170EA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D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03CE8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28"/>
      <w:lang w:val="ru-BG" w:eastAsia="ru-RU"/>
      <w14:ligatures w14:val="none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56F1D"/>
    <w:pPr>
      <w:keepNext/>
      <w:keepLines/>
      <w:spacing w:before="80" w:after="40" w:line="240" w:lineRule="auto"/>
      <w:outlineLvl w:val="3"/>
    </w:pPr>
    <w:rPr>
      <w:rFonts w:ascii="Calibri" w:eastAsiaTheme="majorEastAsia" w:hAnsi="Calibri" w:cstheme="majorBidi"/>
      <w:b/>
      <w:i/>
      <w:iCs/>
      <w:color w:val="0F4761" w:themeColor="accent1" w:themeShade="BF"/>
      <w:kern w:val="0"/>
      <w:sz w:val="28"/>
      <w:lang w:eastAsia="ru-RU"/>
      <w14:ligatures w14:val="none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56F1D"/>
    <w:pPr>
      <w:keepNext/>
      <w:keepLines/>
      <w:spacing w:before="120" w:after="120" w:line="240" w:lineRule="auto"/>
      <w:outlineLvl w:val="4"/>
    </w:pPr>
    <w:rPr>
      <w:rFonts w:ascii="Calibri" w:eastAsiaTheme="majorEastAsia" w:hAnsi="Calibri" w:cs="Calibri"/>
      <w:b/>
      <w:bCs/>
      <w:color w:val="0F4761" w:themeColor="accent1" w:themeShade="BF"/>
      <w:kern w:val="0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56F1D"/>
    <w:rPr>
      <w:rFonts w:ascii="Calibri" w:eastAsiaTheme="majorEastAsia" w:hAnsi="Calibri" w:cs="Calibri"/>
      <w:b/>
      <w:bCs/>
      <w:color w:val="0F4761" w:themeColor="accent1" w:themeShade="BF"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D56F1D"/>
    <w:rPr>
      <w:rFonts w:ascii="Calibri" w:eastAsiaTheme="majorEastAsia" w:hAnsi="Calibri" w:cstheme="majorBidi"/>
      <w:b/>
      <w:i/>
      <w:iCs/>
      <w:color w:val="0F4761" w:themeColor="accent1" w:themeShade="BF"/>
      <w:kern w:val="0"/>
      <w:sz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03CE8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D48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D48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D48F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D48FF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D48F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D48FF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D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8F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D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8F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D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8FF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2D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8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8FF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2D48F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D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BG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2D4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48FF"/>
    <w:rPr>
      <w:lang w:val="ru-RU"/>
    </w:rPr>
  </w:style>
  <w:style w:type="paragraph" w:styleId="af">
    <w:name w:val="footer"/>
    <w:basedOn w:val="a"/>
    <w:link w:val="af0"/>
    <w:uiPriority w:val="99"/>
    <w:unhideWhenUsed/>
    <w:rsid w:val="002D4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48F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Sorokin</dc:creator>
  <cp:keywords/>
  <dc:description/>
  <cp:lastModifiedBy>Mikhail Sorokin</cp:lastModifiedBy>
  <cp:revision>1</cp:revision>
  <dcterms:created xsi:type="dcterms:W3CDTF">2026-02-21T09:11:00Z</dcterms:created>
  <dcterms:modified xsi:type="dcterms:W3CDTF">2026-02-21T09:13:00Z</dcterms:modified>
</cp:coreProperties>
</file>