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399FB" w14:textId="77777777" w:rsidR="00B2502F" w:rsidRPr="00C72BA4" w:rsidRDefault="00B2502F" w:rsidP="00C72BA4">
      <w:pPr>
        <w:pBdr>
          <w:top w:val="nil"/>
          <w:left w:val="nil"/>
          <w:bottom w:val="nil"/>
          <w:right w:val="nil"/>
          <w:between w:val="nil"/>
        </w:pBdr>
        <w:spacing w:after="240" w:line="275" w:lineRule="auto"/>
        <w:jc w:val="both"/>
        <w:rPr>
          <w:rFonts w:ascii="Calibri" w:hAnsi="Calibri" w:cs="Calibri"/>
          <w:color w:val="000000"/>
        </w:rPr>
      </w:pPr>
    </w:p>
    <w:p w14:paraId="51FF3F70" w14:textId="77777777" w:rsidR="00C72BA4" w:rsidRPr="00C72BA4" w:rsidRDefault="00000000" w:rsidP="00C72BA4">
      <w:pPr>
        <w:rPr>
          <w:rFonts w:ascii="Calibri" w:hAnsi="Calibri" w:cs="Calibri"/>
          <w:b/>
          <w:bCs/>
          <w:sz w:val="40"/>
          <w:szCs w:val="40"/>
        </w:rPr>
      </w:pPr>
      <w:r w:rsidRPr="00C72BA4">
        <w:rPr>
          <w:rFonts w:ascii="Calibri" w:hAnsi="Calibri" w:cs="Calibri"/>
          <w:b/>
          <w:bCs/>
          <w:sz w:val="40"/>
          <w:szCs w:val="40"/>
        </w:rPr>
        <w:t>Институциональные Основы Национальной Ядерной Программы: Анализ Функционала Межведомственной Рабочей Группы и Регуляторного Директората</w:t>
      </w:r>
    </w:p>
    <w:p w14:paraId="4664E78D" w14:textId="77777777" w:rsidR="00C72BA4" w:rsidRDefault="00C72BA4" w:rsidP="00C72BA4">
      <w:pPr>
        <w:rPr>
          <w:rFonts w:ascii="Calibri" w:hAnsi="Calibri" w:cs="Calibri"/>
          <w:b/>
          <w:bCs/>
          <w:sz w:val="36"/>
          <w:szCs w:val="36"/>
          <w:lang w:val="ru-RU"/>
        </w:rPr>
      </w:pPr>
    </w:p>
    <w:p w14:paraId="6BABD701" w14:textId="3B159794" w:rsidR="00C72BA4" w:rsidRDefault="00C72BA4" w:rsidP="00C72BA4">
      <w:pPr>
        <w:rPr>
          <w:rFonts w:ascii="Calibri" w:hAnsi="Calibri" w:cs="Calibri"/>
          <w:b/>
          <w:bCs/>
          <w:sz w:val="36"/>
          <w:szCs w:val="36"/>
          <w:lang w:val="ru-RU"/>
        </w:rPr>
      </w:pPr>
      <w:r w:rsidRPr="00C72BA4">
        <w:rPr>
          <w:rFonts w:ascii="Calibri" w:hAnsi="Calibri" w:cs="Calibri"/>
          <w:b/>
          <w:bCs/>
          <w:sz w:val="36"/>
          <w:szCs w:val="36"/>
          <w:lang w:val="ru-RU"/>
        </w:rPr>
        <w:t>Содержание</w:t>
      </w:r>
    </w:p>
    <w:p w14:paraId="47F2723E" w14:textId="77777777" w:rsidR="00C72BA4" w:rsidRPr="00C72BA4" w:rsidRDefault="00C72BA4" w:rsidP="00C72BA4">
      <w:pPr>
        <w:rPr>
          <w:rFonts w:ascii="Calibri" w:hAnsi="Calibri" w:cs="Calibri"/>
          <w:b/>
          <w:bCs/>
          <w:sz w:val="36"/>
          <w:szCs w:val="36"/>
          <w:lang w:val="ru-RU"/>
        </w:rPr>
      </w:pPr>
    </w:p>
    <w:p w14:paraId="234F3E4B" w14:textId="7843478F" w:rsidR="00C72BA4" w:rsidRDefault="00C72BA4">
      <w:pPr>
        <w:pStyle w:val="20"/>
        <w:tabs>
          <w:tab w:val="right" w:leader="dot" w:pos="9350"/>
        </w:tabs>
        <w:rPr>
          <w:rFonts w:asciiTheme="minorHAnsi" w:eastAsiaTheme="minorEastAsia" w:hAnsiTheme="minorHAnsi" w:cstheme="minorBidi"/>
          <w:noProof/>
          <w:kern w:val="2"/>
          <w:sz w:val="24"/>
          <w:szCs w:val="24"/>
          <w14:ligatures w14:val="standardContextual"/>
        </w:rPr>
      </w:pPr>
      <w:r>
        <w:rPr>
          <w:lang w:val="ru-RU"/>
        </w:rPr>
        <w:fldChar w:fldCharType="begin"/>
      </w:r>
      <w:r>
        <w:rPr>
          <w:lang w:val="ru-RU"/>
        </w:rPr>
        <w:instrText xml:space="preserve"> TOC \o "1-3" \h \z \u </w:instrText>
      </w:r>
      <w:r>
        <w:rPr>
          <w:lang w:val="ru-RU"/>
        </w:rPr>
        <w:fldChar w:fldCharType="separate"/>
      </w:r>
      <w:hyperlink w:anchor="_Toc210581563" w:history="1">
        <w:r w:rsidRPr="00AE2785">
          <w:rPr>
            <w:rStyle w:val="a7"/>
            <w:rFonts w:ascii="Calibri" w:eastAsia="Google Sans" w:hAnsi="Calibri" w:cs="Calibri"/>
            <w:noProof/>
          </w:rPr>
          <w:t>I. Концептуальная Основа: Институциональные Столпы Ядерной Инфраструктуры (Модель МАГАТЭ)</w:t>
        </w:r>
        <w:r>
          <w:rPr>
            <w:noProof/>
            <w:webHidden/>
          </w:rPr>
          <w:tab/>
        </w:r>
        <w:r>
          <w:rPr>
            <w:noProof/>
            <w:webHidden/>
          </w:rPr>
          <w:fldChar w:fldCharType="begin"/>
        </w:r>
        <w:r>
          <w:rPr>
            <w:noProof/>
            <w:webHidden/>
          </w:rPr>
          <w:instrText xml:space="preserve"> PAGEREF _Toc210581563 \h </w:instrText>
        </w:r>
        <w:r>
          <w:rPr>
            <w:noProof/>
            <w:webHidden/>
          </w:rPr>
        </w:r>
        <w:r>
          <w:rPr>
            <w:noProof/>
            <w:webHidden/>
          </w:rPr>
          <w:fldChar w:fldCharType="separate"/>
        </w:r>
        <w:r>
          <w:rPr>
            <w:noProof/>
            <w:webHidden/>
          </w:rPr>
          <w:t>2</w:t>
        </w:r>
        <w:r>
          <w:rPr>
            <w:noProof/>
            <w:webHidden/>
          </w:rPr>
          <w:fldChar w:fldCharType="end"/>
        </w:r>
      </w:hyperlink>
    </w:p>
    <w:p w14:paraId="321579B8" w14:textId="2157BF40"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64" w:history="1">
        <w:r w:rsidRPr="00AE2785">
          <w:rPr>
            <w:rStyle w:val="a7"/>
            <w:rFonts w:ascii="Calibri" w:eastAsia="Google Sans" w:hAnsi="Calibri" w:cs="Calibri"/>
            <w:noProof/>
          </w:rPr>
          <w:t>1.1. Введение: Необходимость Комплексной Инфраструктуры и Принцип МАГАТЭ Milestones</w:t>
        </w:r>
        <w:r>
          <w:rPr>
            <w:noProof/>
            <w:webHidden/>
          </w:rPr>
          <w:tab/>
        </w:r>
        <w:r>
          <w:rPr>
            <w:noProof/>
            <w:webHidden/>
          </w:rPr>
          <w:fldChar w:fldCharType="begin"/>
        </w:r>
        <w:r>
          <w:rPr>
            <w:noProof/>
            <w:webHidden/>
          </w:rPr>
          <w:instrText xml:space="preserve"> PAGEREF _Toc210581564 \h </w:instrText>
        </w:r>
        <w:r>
          <w:rPr>
            <w:noProof/>
            <w:webHidden/>
          </w:rPr>
        </w:r>
        <w:r>
          <w:rPr>
            <w:noProof/>
            <w:webHidden/>
          </w:rPr>
          <w:fldChar w:fldCharType="separate"/>
        </w:r>
        <w:r>
          <w:rPr>
            <w:noProof/>
            <w:webHidden/>
          </w:rPr>
          <w:t>2</w:t>
        </w:r>
        <w:r>
          <w:rPr>
            <w:noProof/>
            <w:webHidden/>
          </w:rPr>
          <w:fldChar w:fldCharType="end"/>
        </w:r>
      </w:hyperlink>
    </w:p>
    <w:p w14:paraId="7CEB63B4" w14:textId="384AE890"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65" w:history="1">
        <w:r w:rsidRPr="00AE2785">
          <w:rPr>
            <w:rStyle w:val="a7"/>
            <w:rFonts w:ascii="Calibri" w:eastAsia="Google Sans" w:hAnsi="Calibri" w:cs="Calibri"/>
            <w:noProof/>
          </w:rPr>
          <w:t>1.2. Определения: Межведомственная Рабочая Группа (МЭРГ, аналог NEPIO)</w:t>
        </w:r>
        <w:r>
          <w:rPr>
            <w:noProof/>
            <w:webHidden/>
          </w:rPr>
          <w:tab/>
        </w:r>
        <w:r>
          <w:rPr>
            <w:noProof/>
            <w:webHidden/>
          </w:rPr>
          <w:fldChar w:fldCharType="begin"/>
        </w:r>
        <w:r>
          <w:rPr>
            <w:noProof/>
            <w:webHidden/>
          </w:rPr>
          <w:instrText xml:space="preserve"> PAGEREF _Toc210581565 \h </w:instrText>
        </w:r>
        <w:r>
          <w:rPr>
            <w:noProof/>
            <w:webHidden/>
          </w:rPr>
        </w:r>
        <w:r>
          <w:rPr>
            <w:noProof/>
            <w:webHidden/>
          </w:rPr>
          <w:fldChar w:fldCharType="separate"/>
        </w:r>
        <w:r>
          <w:rPr>
            <w:noProof/>
            <w:webHidden/>
          </w:rPr>
          <w:t>2</w:t>
        </w:r>
        <w:r>
          <w:rPr>
            <w:noProof/>
            <w:webHidden/>
          </w:rPr>
          <w:fldChar w:fldCharType="end"/>
        </w:r>
      </w:hyperlink>
    </w:p>
    <w:p w14:paraId="6D5CE4C0" w14:textId="28A802DF"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66" w:history="1">
        <w:r w:rsidRPr="00AE2785">
          <w:rPr>
            <w:rStyle w:val="a7"/>
            <w:rFonts w:ascii="Calibri" w:eastAsia="Google Sans" w:hAnsi="Calibri" w:cs="Calibri"/>
            <w:noProof/>
          </w:rPr>
          <w:t>1.3. Определения: Директорат (Регуляторный Орган)</w:t>
        </w:r>
        <w:r>
          <w:rPr>
            <w:noProof/>
            <w:webHidden/>
          </w:rPr>
          <w:tab/>
        </w:r>
        <w:r>
          <w:rPr>
            <w:noProof/>
            <w:webHidden/>
          </w:rPr>
          <w:fldChar w:fldCharType="begin"/>
        </w:r>
        <w:r>
          <w:rPr>
            <w:noProof/>
            <w:webHidden/>
          </w:rPr>
          <w:instrText xml:space="preserve"> PAGEREF _Toc210581566 \h </w:instrText>
        </w:r>
        <w:r>
          <w:rPr>
            <w:noProof/>
            <w:webHidden/>
          </w:rPr>
        </w:r>
        <w:r>
          <w:rPr>
            <w:noProof/>
            <w:webHidden/>
          </w:rPr>
          <w:fldChar w:fldCharType="separate"/>
        </w:r>
        <w:r>
          <w:rPr>
            <w:noProof/>
            <w:webHidden/>
          </w:rPr>
          <w:t>3</w:t>
        </w:r>
        <w:r>
          <w:rPr>
            <w:noProof/>
            <w:webHidden/>
          </w:rPr>
          <w:fldChar w:fldCharType="end"/>
        </w:r>
      </w:hyperlink>
    </w:p>
    <w:p w14:paraId="1FC09D67" w14:textId="493EC7FC" w:rsidR="00C72BA4" w:rsidRDefault="00C72BA4">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10581567" w:history="1">
        <w:r w:rsidRPr="00AE2785">
          <w:rPr>
            <w:rStyle w:val="a7"/>
            <w:rFonts w:ascii="Calibri" w:eastAsia="Google Sans" w:hAnsi="Calibri" w:cs="Calibri"/>
            <w:noProof/>
          </w:rPr>
          <w:t>II. Межведомственная Экспертная Рабочая Группа (МЭРГ): Функции Органа по Реализации Программы (NEPIO)</w:t>
        </w:r>
        <w:r>
          <w:rPr>
            <w:noProof/>
            <w:webHidden/>
          </w:rPr>
          <w:tab/>
        </w:r>
        <w:r>
          <w:rPr>
            <w:noProof/>
            <w:webHidden/>
          </w:rPr>
          <w:fldChar w:fldCharType="begin"/>
        </w:r>
        <w:r>
          <w:rPr>
            <w:noProof/>
            <w:webHidden/>
          </w:rPr>
          <w:instrText xml:space="preserve"> PAGEREF _Toc210581567 \h </w:instrText>
        </w:r>
        <w:r>
          <w:rPr>
            <w:noProof/>
            <w:webHidden/>
          </w:rPr>
        </w:r>
        <w:r>
          <w:rPr>
            <w:noProof/>
            <w:webHidden/>
          </w:rPr>
          <w:fldChar w:fldCharType="separate"/>
        </w:r>
        <w:r>
          <w:rPr>
            <w:noProof/>
            <w:webHidden/>
          </w:rPr>
          <w:t>3</w:t>
        </w:r>
        <w:r>
          <w:rPr>
            <w:noProof/>
            <w:webHidden/>
          </w:rPr>
          <w:fldChar w:fldCharType="end"/>
        </w:r>
      </w:hyperlink>
    </w:p>
    <w:p w14:paraId="3B633170" w14:textId="52F69BAA"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68" w:history="1">
        <w:r w:rsidRPr="00AE2785">
          <w:rPr>
            <w:rStyle w:val="a7"/>
            <w:rFonts w:ascii="Calibri" w:eastAsia="Google Sans" w:hAnsi="Calibri" w:cs="Calibri"/>
            <w:noProof/>
          </w:rPr>
          <w:t>2.1. Идеи и Положения МЭРГ: Стратегическое Продвижение</w:t>
        </w:r>
        <w:r>
          <w:rPr>
            <w:noProof/>
            <w:webHidden/>
          </w:rPr>
          <w:tab/>
        </w:r>
        <w:r>
          <w:rPr>
            <w:noProof/>
            <w:webHidden/>
          </w:rPr>
          <w:fldChar w:fldCharType="begin"/>
        </w:r>
        <w:r>
          <w:rPr>
            <w:noProof/>
            <w:webHidden/>
          </w:rPr>
          <w:instrText xml:space="preserve"> PAGEREF _Toc210581568 \h </w:instrText>
        </w:r>
        <w:r>
          <w:rPr>
            <w:noProof/>
            <w:webHidden/>
          </w:rPr>
        </w:r>
        <w:r>
          <w:rPr>
            <w:noProof/>
            <w:webHidden/>
          </w:rPr>
          <w:fldChar w:fldCharType="separate"/>
        </w:r>
        <w:r>
          <w:rPr>
            <w:noProof/>
            <w:webHidden/>
          </w:rPr>
          <w:t>3</w:t>
        </w:r>
        <w:r>
          <w:rPr>
            <w:noProof/>
            <w:webHidden/>
          </w:rPr>
          <w:fldChar w:fldCharType="end"/>
        </w:r>
      </w:hyperlink>
    </w:p>
    <w:p w14:paraId="676C784B" w14:textId="0150FAAE"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69" w:history="1">
        <w:r w:rsidRPr="00AE2785">
          <w:rPr>
            <w:rStyle w:val="a7"/>
            <w:rFonts w:ascii="Calibri" w:eastAsia="Google Sans" w:hAnsi="Calibri" w:cs="Calibri"/>
            <w:noProof/>
          </w:rPr>
          <w:t>2.2. Мандат и Функционал МЭРГ: Координация и Разработка Стратегий</w:t>
        </w:r>
        <w:r>
          <w:rPr>
            <w:noProof/>
            <w:webHidden/>
          </w:rPr>
          <w:tab/>
        </w:r>
        <w:r>
          <w:rPr>
            <w:noProof/>
            <w:webHidden/>
          </w:rPr>
          <w:fldChar w:fldCharType="begin"/>
        </w:r>
        <w:r>
          <w:rPr>
            <w:noProof/>
            <w:webHidden/>
          </w:rPr>
          <w:instrText xml:space="preserve"> PAGEREF _Toc210581569 \h </w:instrText>
        </w:r>
        <w:r>
          <w:rPr>
            <w:noProof/>
            <w:webHidden/>
          </w:rPr>
        </w:r>
        <w:r>
          <w:rPr>
            <w:noProof/>
            <w:webHidden/>
          </w:rPr>
          <w:fldChar w:fldCharType="separate"/>
        </w:r>
        <w:r>
          <w:rPr>
            <w:noProof/>
            <w:webHidden/>
          </w:rPr>
          <w:t>3</w:t>
        </w:r>
        <w:r>
          <w:rPr>
            <w:noProof/>
            <w:webHidden/>
          </w:rPr>
          <w:fldChar w:fldCharType="end"/>
        </w:r>
      </w:hyperlink>
    </w:p>
    <w:p w14:paraId="474FB095" w14:textId="11C17E5D" w:rsidR="00C72BA4" w:rsidRDefault="00C72BA4">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10581570" w:history="1">
        <w:r w:rsidRPr="00AE2785">
          <w:rPr>
            <w:rStyle w:val="a7"/>
            <w:rFonts w:ascii="Calibri" w:eastAsia="Google Sans" w:hAnsi="Calibri" w:cs="Calibri"/>
            <w:noProof/>
          </w:rPr>
          <w:t>III. Директорат: Роль Национального Органа по Ядерной и Радиационной Безопасности (Регулятор)</w:t>
        </w:r>
        <w:r>
          <w:rPr>
            <w:noProof/>
            <w:webHidden/>
          </w:rPr>
          <w:tab/>
        </w:r>
        <w:r>
          <w:rPr>
            <w:noProof/>
            <w:webHidden/>
          </w:rPr>
          <w:fldChar w:fldCharType="begin"/>
        </w:r>
        <w:r>
          <w:rPr>
            <w:noProof/>
            <w:webHidden/>
          </w:rPr>
          <w:instrText xml:space="preserve"> PAGEREF _Toc210581570 \h </w:instrText>
        </w:r>
        <w:r>
          <w:rPr>
            <w:noProof/>
            <w:webHidden/>
          </w:rPr>
        </w:r>
        <w:r>
          <w:rPr>
            <w:noProof/>
            <w:webHidden/>
          </w:rPr>
          <w:fldChar w:fldCharType="separate"/>
        </w:r>
        <w:r>
          <w:rPr>
            <w:noProof/>
            <w:webHidden/>
          </w:rPr>
          <w:t>4</w:t>
        </w:r>
        <w:r>
          <w:rPr>
            <w:noProof/>
            <w:webHidden/>
          </w:rPr>
          <w:fldChar w:fldCharType="end"/>
        </w:r>
      </w:hyperlink>
    </w:p>
    <w:p w14:paraId="57362E14" w14:textId="349334D4"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1" w:history="1">
        <w:r w:rsidRPr="00AE2785">
          <w:rPr>
            <w:rStyle w:val="a7"/>
            <w:rFonts w:ascii="Calibri" w:eastAsia="Google Sans" w:hAnsi="Calibri" w:cs="Calibri"/>
            <w:noProof/>
          </w:rPr>
          <w:t>3.1. Требование Независимости: Краеугольный Камень Доверия</w:t>
        </w:r>
        <w:r>
          <w:rPr>
            <w:noProof/>
            <w:webHidden/>
          </w:rPr>
          <w:tab/>
        </w:r>
        <w:r>
          <w:rPr>
            <w:noProof/>
            <w:webHidden/>
          </w:rPr>
          <w:fldChar w:fldCharType="begin"/>
        </w:r>
        <w:r>
          <w:rPr>
            <w:noProof/>
            <w:webHidden/>
          </w:rPr>
          <w:instrText xml:space="preserve"> PAGEREF _Toc210581571 \h </w:instrText>
        </w:r>
        <w:r>
          <w:rPr>
            <w:noProof/>
            <w:webHidden/>
          </w:rPr>
        </w:r>
        <w:r>
          <w:rPr>
            <w:noProof/>
            <w:webHidden/>
          </w:rPr>
          <w:fldChar w:fldCharType="separate"/>
        </w:r>
        <w:r>
          <w:rPr>
            <w:noProof/>
            <w:webHidden/>
          </w:rPr>
          <w:t>4</w:t>
        </w:r>
        <w:r>
          <w:rPr>
            <w:noProof/>
            <w:webHidden/>
          </w:rPr>
          <w:fldChar w:fldCharType="end"/>
        </w:r>
      </w:hyperlink>
    </w:p>
    <w:p w14:paraId="549288F6" w14:textId="58D7D3DC"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2" w:history="1">
        <w:r w:rsidRPr="00AE2785">
          <w:rPr>
            <w:rStyle w:val="a7"/>
            <w:rFonts w:ascii="Calibri" w:eastAsia="Google Sans" w:hAnsi="Calibri" w:cs="Calibri"/>
            <w:noProof/>
          </w:rPr>
          <w:t>3.2. Функционал Директората: От Законодательства до Инспекции</w:t>
        </w:r>
        <w:r>
          <w:rPr>
            <w:noProof/>
            <w:webHidden/>
          </w:rPr>
          <w:tab/>
        </w:r>
        <w:r>
          <w:rPr>
            <w:noProof/>
            <w:webHidden/>
          </w:rPr>
          <w:fldChar w:fldCharType="begin"/>
        </w:r>
        <w:r>
          <w:rPr>
            <w:noProof/>
            <w:webHidden/>
          </w:rPr>
          <w:instrText xml:space="preserve"> PAGEREF _Toc210581572 \h </w:instrText>
        </w:r>
        <w:r>
          <w:rPr>
            <w:noProof/>
            <w:webHidden/>
          </w:rPr>
        </w:r>
        <w:r>
          <w:rPr>
            <w:noProof/>
            <w:webHidden/>
          </w:rPr>
          <w:fldChar w:fldCharType="separate"/>
        </w:r>
        <w:r>
          <w:rPr>
            <w:noProof/>
            <w:webHidden/>
          </w:rPr>
          <w:t>5</w:t>
        </w:r>
        <w:r>
          <w:rPr>
            <w:noProof/>
            <w:webHidden/>
          </w:rPr>
          <w:fldChar w:fldCharType="end"/>
        </w:r>
      </w:hyperlink>
    </w:p>
    <w:p w14:paraId="149D1B17" w14:textId="51970E65"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3" w:history="1">
        <w:r w:rsidRPr="00AE2785">
          <w:rPr>
            <w:rStyle w:val="a7"/>
            <w:rFonts w:ascii="Calibri" w:eastAsia="Google Sans" w:hAnsi="Calibri" w:cs="Calibri"/>
            <w:noProof/>
          </w:rPr>
          <w:t>3.3. Адаптация Регуляторной Инфраструктуры к Новым Вызовам</w:t>
        </w:r>
        <w:r>
          <w:rPr>
            <w:noProof/>
            <w:webHidden/>
          </w:rPr>
          <w:tab/>
        </w:r>
        <w:r>
          <w:rPr>
            <w:noProof/>
            <w:webHidden/>
          </w:rPr>
          <w:fldChar w:fldCharType="begin"/>
        </w:r>
        <w:r>
          <w:rPr>
            <w:noProof/>
            <w:webHidden/>
          </w:rPr>
          <w:instrText xml:space="preserve"> PAGEREF _Toc210581573 \h </w:instrText>
        </w:r>
        <w:r>
          <w:rPr>
            <w:noProof/>
            <w:webHidden/>
          </w:rPr>
        </w:r>
        <w:r>
          <w:rPr>
            <w:noProof/>
            <w:webHidden/>
          </w:rPr>
          <w:fldChar w:fldCharType="separate"/>
        </w:r>
        <w:r>
          <w:rPr>
            <w:noProof/>
            <w:webHidden/>
          </w:rPr>
          <w:t>5</w:t>
        </w:r>
        <w:r>
          <w:rPr>
            <w:noProof/>
            <w:webHidden/>
          </w:rPr>
          <w:fldChar w:fldCharType="end"/>
        </w:r>
      </w:hyperlink>
    </w:p>
    <w:p w14:paraId="6A24ED09" w14:textId="20E910FF" w:rsidR="00C72BA4" w:rsidRDefault="00C72BA4">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10581574" w:history="1">
        <w:r w:rsidRPr="00AE2785">
          <w:rPr>
            <w:rStyle w:val="a7"/>
            <w:rFonts w:ascii="Calibri" w:eastAsia="Google Sans" w:hAnsi="Calibri" w:cs="Calibri"/>
            <w:noProof/>
          </w:rPr>
          <w:t>IV. Международный Опыт Создания Аналогичных Организаций (Бенчмаркинг)</w:t>
        </w:r>
        <w:r>
          <w:rPr>
            <w:noProof/>
            <w:webHidden/>
          </w:rPr>
          <w:tab/>
        </w:r>
        <w:r>
          <w:rPr>
            <w:noProof/>
            <w:webHidden/>
          </w:rPr>
          <w:fldChar w:fldCharType="begin"/>
        </w:r>
        <w:r>
          <w:rPr>
            <w:noProof/>
            <w:webHidden/>
          </w:rPr>
          <w:instrText xml:space="preserve"> PAGEREF _Toc210581574 \h </w:instrText>
        </w:r>
        <w:r>
          <w:rPr>
            <w:noProof/>
            <w:webHidden/>
          </w:rPr>
        </w:r>
        <w:r>
          <w:rPr>
            <w:noProof/>
            <w:webHidden/>
          </w:rPr>
          <w:fldChar w:fldCharType="separate"/>
        </w:r>
        <w:r>
          <w:rPr>
            <w:noProof/>
            <w:webHidden/>
          </w:rPr>
          <w:t>6</w:t>
        </w:r>
        <w:r>
          <w:rPr>
            <w:noProof/>
            <w:webHidden/>
          </w:rPr>
          <w:fldChar w:fldCharType="end"/>
        </w:r>
      </w:hyperlink>
    </w:p>
    <w:p w14:paraId="25A66E81" w14:textId="66279907"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5" w:history="1">
        <w:r w:rsidRPr="00AE2785">
          <w:rPr>
            <w:rStyle w:val="a7"/>
            <w:rFonts w:ascii="Calibri" w:eastAsia="Google Sans" w:hAnsi="Calibri" w:cs="Calibri"/>
            <w:noProof/>
          </w:rPr>
          <w:t>4.1. Модель Объединенных Арабских Эмиратов (ОАЭ): Эталон для Новичков</w:t>
        </w:r>
        <w:r>
          <w:rPr>
            <w:noProof/>
            <w:webHidden/>
          </w:rPr>
          <w:tab/>
        </w:r>
        <w:r>
          <w:rPr>
            <w:noProof/>
            <w:webHidden/>
          </w:rPr>
          <w:fldChar w:fldCharType="begin"/>
        </w:r>
        <w:r>
          <w:rPr>
            <w:noProof/>
            <w:webHidden/>
          </w:rPr>
          <w:instrText xml:space="preserve"> PAGEREF _Toc210581575 \h </w:instrText>
        </w:r>
        <w:r>
          <w:rPr>
            <w:noProof/>
            <w:webHidden/>
          </w:rPr>
        </w:r>
        <w:r>
          <w:rPr>
            <w:noProof/>
            <w:webHidden/>
          </w:rPr>
          <w:fldChar w:fldCharType="separate"/>
        </w:r>
        <w:r>
          <w:rPr>
            <w:noProof/>
            <w:webHidden/>
          </w:rPr>
          <w:t>6</w:t>
        </w:r>
        <w:r>
          <w:rPr>
            <w:noProof/>
            <w:webHidden/>
          </w:rPr>
          <w:fldChar w:fldCharType="end"/>
        </w:r>
      </w:hyperlink>
    </w:p>
    <w:p w14:paraId="7CEA047B" w14:textId="1BC4BD52"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6" w:history="1">
        <w:r w:rsidRPr="00AE2785">
          <w:rPr>
            <w:rStyle w:val="a7"/>
            <w:rFonts w:ascii="Calibri" w:eastAsia="Google Sans" w:hAnsi="Calibri" w:cs="Calibri"/>
            <w:noProof/>
          </w:rPr>
          <w:t>4.2. Модель Египта: Разделение Продвижения и Надзора</w:t>
        </w:r>
        <w:r>
          <w:rPr>
            <w:noProof/>
            <w:webHidden/>
          </w:rPr>
          <w:tab/>
        </w:r>
        <w:r>
          <w:rPr>
            <w:noProof/>
            <w:webHidden/>
          </w:rPr>
          <w:fldChar w:fldCharType="begin"/>
        </w:r>
        <w:r>
          <w:rPr>
            <w:noProof/>
            <w:webHidden/>
          </w:rPr>
          <w:instrText xml:space="preserve"> PAGEREF _Toc210581576 \h </w:instrText>
        </w:r>
        <w:r>
          <w:rPr>
            <w:noProof/>
            <w:webHidden/>
          </w:rPr>
        </w:r>
        <w:r>
          <w:rPr>
            <w:noProof/>
            <w:webHidden/>
          </w:rPr>
          <w:fldChar w:fldCharType="separate"/>
        </w:r>
        <w:r>
          <w:rPr>
            <w:noProof/>
            <w:webHidden/>
          </w:rPr>
          <w:t>6</w:t>
        </w:r>
        <w:r>
          <w:rPr>
            <w:noProof/>
            <w:webHidden/>
          </w:rPr>
          <w:fldChar w:fldCharType="end"/>
        </w:r>
      </w:hyperlink>
    </w:p>
    <w:p w14:paraId="38BAD6AC" w14:textId="3C8BA468"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7" w:history="1">
        <w:r w:rsidRPr="00AE2785">
          <w:rPr>
            <w:rStyle w:val="a7"/>
            <w:rFonts w:ascii="Calibri" w:eastAsia="Google Sans" w:hAnsi="Calibri" w:cs="Calibri"/>
            <w:noProof/>
          </w:rPr>
          <w:t>4.3. Подход Великобритании: Адаптация к SMR и Инновационное Финансирование</w:t>
        </w:r>
        <w:r>
          <w:rPr>
            <w:noProof/>
            <w:webHidden/>
          </w:rPr>
          <w:tab/>
        </w:r>
        <w:r>
          <w:rPr>
            <w:noProof/>
            <w:webHidden/>
          </w:rPr>
          <w:fldChar w:fldCharType="begin"/>
        </w:r>
        <w:r>
          <w:rPr>
            <w:noProof/>
            <w:webHidden/>
          </w:rPr>
          <w:instrText xml:space="preserve"> PAGEREF _Toc210581577 \h </w:instrText>
        </w:r>
        <w:r>
          <w:rPr>
            <w:noProof/>
            <w:webHidden/>
          </w:rPr>
        </w:r>
        <w:r>
          <w:rPr>
            <w:noProof/>
            <w:webHidden/>
          </w:rPr>
          <w:fldChar w:fldCharType="separate"/>
        </w:r>
        <w:r>
          <w:rPr>
            <w:noProof/>
            <w:webHidden/>
          </w:rPr>
          <w:t>6</w:t>
        </w:r>
        <w:r>
          <w:rPr>
            <w:noProof/>
            <w:webHidden/>
          </w:rPr>
          <w:fldChar w:fldCharType="end"/>
        </w:r>
      </w:hyperlink>
    </w:p>
    <w:p w14:paraId="72CA6537" w14:textId="27971FDF" w:rsidR="00C72BA4" w:rsidRDefault="00C72BA4">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10581578" w:history="1">
        <w:r w:rsidRPr="00AE2785">
          <w:rPr>
            <w:rStyle w:val="a7"/>
            <w:rFonts w:ascii="Calibri" w:eastAsia="Google Sans" w:hAnsi="Calibri" w:cs="Calibri"/>
            <w:noProof/>
          </w:rPr>
          <w:t>V. Особенности Функционала в Контексте Новых Технологий (SMR)</w:t>
        </w:r>
        <w:r>
          <w:rPr>
            <w:noProof/>
            <w:webHidden/>
          </w:rPr>
          <w:tab/>
        </w:r>
        <w:r>
          <w:rPr>
            <w:noProof/>
            <w:webHidden/>
          </w:rPr>
          <w:fldChar w:fldCharType="begin"/>
        </w:r>
        <w:r>
          <w:rPr>
            <w:noProof/>
            <w:webHidden/>
          </w:rPr>
          <w:instrText xml:space="preserve"> PAGEREF _Toc210581578 \h </w:instrText>
        </w:r>
        <w:r>
          <w:rPr>
            <w:noProof/>
            <w:webHidden/>
          </w:rPr>
        </w:r>
        <w:r>
          <w:rPr>
            <w:noProof/>
            <w:webHidden/>
          </w:rPr>
          <w:fldChar w:fldCharType="separate"/>
        </w:r>
        <w:r>
          <w:rPr>
            <w:noProof/>
            <w:webHidden/>
          </w:rPr>
          <w:t>7</w:t>
        </w:r>
        <w:r>
          <w:rPr>
            <w:noProof/>
            <w:webHidden/>
          </w:rPr>
          <w:fldChar w:fldCharType="end"/>
        </w:r>
      </w:hyperlink>
    </w:p>
    <w:p w14:paraId="5999DBED" w14:textId="1E4BAE26"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79" w:history="1">
        <w:r w:rsidRPr="00AE2785">
          <w:rPr>
            <w:rStyle w:val="a7"/>
            <w:rFonts w:ascii="Calibri" w:eastAsia="Google Sans" w:hAnsi="Calibri" w:cs="Calibri"/>
            <w:noProof/>
          </w:rPr>
          <w:t>5.1. Регуляторные Барьеры для Развертывания SMR</w:t>
        </w:r>
        <w:r>
          <w:rPr>
            <w:noProof/>
            <w:webHidden/>
          </w:rPr>
          <w:tab/>
        </w:r>
        <w:r>
          <w:rPr>
            <w:noProof/>
            <w:webHidden/>
          </w:rPr>
          <w:fldChar w:fldCharType="begin"/>
        </w:r>
        <w:r>
          <w:rPr>
            <w:noProof/>
            <w:webHidden/>
          </w:rPr>
          <w:instrText xml:space="preserve"> PAGEREF _Toc210581579 \h </w:instrText>
        </w:r>
        <w:r>
          <w:rPr>
            <w:noProof/>
            <w:webHidden/>
          </w:rPr>
        </w:r>
        <w:r>
          <w:rPr>
            <w:noProof/>
            <w:webHidden/>
          </w:rPr>
          <w:fldChar w:fldCharType="separate"/>
        </w:r>
        <w:r>
          <w:rPr>
            <w:noProof/>
            <w:webHidden/>
          </w:rPr>
          <w:t>7</w:t>
        </w:r>
        <w:r>
          <w:rPr>
            <w:noProof/>
            <w:webHidden/>
          </w:rPr>
          <w:fldChar w:fldCharType="end"/>
        </w:r>
      </w:hyperlink>
    </w:p>
    <w:p w14:paraId="7E96F0FB" w14:textId="2B2976D7"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80" w:history="1">
        <w:r w:rsidRPr="00AE2785">
          <w:rPr>
            <w:rStyle w:val="a7"/>
            <w:rFonts w:ascii="Calibri" w:eastAsia="Google Sans" w:hAnsi="Calibri" w:cs="Calibri"/>
            <w:noProof/>
          </w:rPr>
          <w:t>5.2. Роль Директората в Гармонизации и Предлицензировании</w:t>
        </w:r>
        <w:r>
          <w:rPr>
            <w:noProof/>
            <w:webHidden/>
          </w:rPr>
          <w:tab/>
        </w:r>
        <w:r>
          <w:rPr>
            <w:noProof/>
            <w:webHidden/>
          </w:rPr>
          <w:fldChar w:fldCharType="begin"/>
        </w:r>
        <w:r>
          <w:rPr>
            <w:noProof/>
            <w:webHidden/>
          </w:rPr>
          <w:instrText xml:space="preserve"> PAGEREF _Toc210581580 \h </w:instrText>
        </w:r>
        <w:r>
          <w:rPr>
            <w:noProof/>
            <w:webHidden/>
          </w:rPr>
        </w:r>
        <w:r>
          <w:rPr>
            <w:noProof/>
            <w:webHidden/>
          </w:rPr>
          <w:fldChar w:fldCharType="separate"/>
        </w:r>
        <w:r>
          <w:rPr>
            <w:noProof/>
            <w:webHidden/>
          </w:rPr>
          <w:t>7</w:t>
        </w:r>
        <w:r>
          <w:rPr>
            <w:noProof/>
            <w:webHidden/>
          </w:rPr>
          <w:fldChar w:fldCharType="end"/>
        </w:r>
      </w:hyperlink>
    </w:p>
    <w:p w14:paraId="7FA7BDDF" w14:textId="33A27585" w:rsidR="00C72BA4" w:rsidRDefault="00C72BA4">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10581581" w:history="1">
        <w:r w:rsidRPr="00AE2785">
          <w:rPr>
            <w:rStyle w:val="a7"/>
            <w:rFonts w:ascii="Calibri" w:eastAsia="Google Sans" w:hAnsi="Calibri" w:cs="Calibri"/>
            <w:noProof/>
          </w:rPr>
          <w:t>VI. Синтез Институциональных Взаимодействий и Стратегические Выводы</w:t>
        </w:r>
        <w:r>
          <w:rPr>
            <w:noProof/>
            <w:webHidden/>
          </w:rPr>
          <w:tab/>
        </w:r>
        <w:r>
          <w:rPr>
            <w:noProof/>
            <w:webHidden/>
          </w:rPr>
          <w:fldChar w:fldCharType="begin"/>
        </w:r>
        <w:r>
          <w:rPr>
            <w:noProof/>
            <w:webHidden/>
          </w:rPr>
          <w:instrText xml:space="preserve"> PAGEREF _Toc210581581 \h </w:instrText>
        </w:r>
        <w:r>
          <w:rPr>
            <w:noProof/>
            <w:webHidden/>
          </w:rPr>
        </w:r>
        <w:r>
          <w:rPr>
            <w:noProof/>
            <w:webHidden/>
          </w:rPr>
          <w:fldChar w:fldCharType="separate"/>
        </w:r>
        <w:r>
          <w:rPr>
            <w:noProof/>
            <w:webHidden/>
          </w:rPr>
          <w:t>8</w:t>
        </w:r>
        <w:r>
          <w:rPr>
            <w:noProof/>
            <w:webHidden/>
          </w:rPr>
          <w:fldChar w:fldCharType="end"/>
        </w:r>
      </w:hyperlink>
    </w:p>
    <w:p w14:paraId="612C1B68" w14:textId="180DA70E"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82" w:history="1">
        <w:r w:rsidRPr="00AE2785">
          <w:rPr>
            <w:rStyle w:val="a7"/>
            <w:rFonts w:ascii="Calibri" w:eastAsia="Google Sans" w:hAnsi="Calibri" w:cs="Calibri"/>
            <w:noProof/>
          </w:rPr>
          <w:t>6.1. Резюме Разграничения Полномочий и Взаимодействия</w:t>
        </w:r>
        <w:r>
          <w:rPr>
            <w:noProof/>
            <w:webHidden/>
          </w:rPr>
          <w:tab/>
        </w:r>
        <w:r>
          <w:rPr>
            <w:noProof/>
            <w:webHidden/>
          </w:rPr>
          <w:fldChar w:fldCharType="begin"/>
        </w:r>
        <w:r>
          <w:rPr>
            <w:noProof/>
            <w:webHidden/>
          </w:rPr>
          <w:instrText xml:space="preserve"> PAGEREF _Toc210581582 \h </w:instrText>
        </w:r>
        <w:r>
          <w:rPr>
            <w:noProof/>
            <w:webHidden/>
          </w:rPr>
        </w:r>
        <w:r>
          <w:rPr>
            <w:noProof/>
            <w:webHidden/>
          </w:rPr>
          <w:fldChar w:fldCharType="separate"/>
        </w:r>
        <w:r>
          <w:rPr>
            <w:noProof/>
            <w:webHidden/>
          </w:rPr>
          <w:t>8</w:t>
        </w:r>
        <w:r>
          <w:rPr>
            <w:noProof/>
            <w:webHidden/>
          </w:rPr>
          <w:fldChar w:fldCharType="end"/>
        </w:r>
      </w:hyperlink>
    </w:p>
    <w:p w14:paraId="7424474F" w14:textId="30B9AD67"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83" w:history="1">
        <w:r w:rsidRPr="00AE2785">
          <w:rPr>
            <w:rStyle w:val="a7"/>
            <w:rFonts w:ascii="Calibri" w:eastAsia="Google Sans" w:hAnsi="Calibri" w:cs="Calibri"/>
            <w:noProof/>
          </w:rPr>
          <w:t>6.2. Международные Институциональные Бенчмарки</w:t>
        </w:r>
        <w:r>
          <w:rPr>
            <w:noProof/>
            <w:webHidden/>
          </w:rPr>
          <w:tab/>
        </w:r>
        <w:r>
          <w:rPr>
            <w:noProof/>
            <w:webHidden/>
          </w:rPr>
          <w:fldChar w:fldCharType="begin"/>
        </w:r>
        <w:r>
          <w:rPr>
            <w:noProof/>
            <w:webHidden/>
          </w:rPr>
          <w:instrText xml:space="preserve"> PAGEREF _Toc210581583 \h </w:instrText>
        </w:r>
        <w:r>
          <w:rPr>
            <w:noProof/>
            <w:webHidden/>
          </w:rPr>
        </w:r>
        <w:r>
          <w:rPr>
            <w:noProof/>
            <w:webHidden/>
          </w:rPr>
          <w:fldChar w:fldCharType="separate"/>
        </w:r>
        <w:r>
          <w:rPr>
            <w:noProof/>
            <w:webHidden/>
          </w:rPr>
          <w:t>9</w:t>
        </w:r>
        <w:r>
          <w:rPr>
            <w:noProof/>
            <w:webHidden/>
          </w:rPr>
          <w:fldChar w:fldCharType="end"/>
        </w:r>
      </w:hyperlink>
    </w:p>
    <w:p w14:paraId="2ED09C6F" w14:textId="0CAFFDF3" w:rsidR="00C72BA4" w:rsidRDefault="00C72BA4">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10581584" w:history="1">
        <w:r w:rsidRPr="00AE2785">
          <w:rPr>
            <w:rStyle w:val="a7"/>
            <w:rFonts w:ascii="Calibri" w:eastAsia="Google Sans" w:hAnsi="Calibri" w:cs="Calibri"/>
            <w:noProof/>
          </w:rPr>
          <w:t>6.3. Выводы</w:t>
        </w:r>
        <w:r>
          <w:rPr>
            <w:noProof/>
            <w:webHidden/>
          </w:rPr>
          <w:tab/>
        </w:r>
        <w:r>
          <w:rPr>
            <w:noProof/>
            <w:webHidden/>
          </w:rPr>
          <w:fldChar w:fldCharType="begin"/>
        </w:r>
        <w:r>
          <w:rPr>
            <w:noProof/>
            <w:webHidden/>
          </w:rPr>
          <w:instrText xml:space="preserve"> PAGEREF _Toc210581584 \h </w:instrText>
        </w:r>
        <w:r>
          <w:rPr>
            <w:noProof/>
            <w:webHidden/>
          </w:rPr>
        </w:r>
        <w:r>
          <w:rPr>
            <w:noProof/>
            <w:webHidden/>
          </w:rPr>
          <w:fldChar w:fldCharType="separate"/>
        </w:r>
        <w:r>
          <w:rPr>
            <w:noProof/>
            <w:webHidden/>
          </w:rPr>
          <w:t>10</w:t>
        </w:r>
        <w:r>
          <w:rPr>
            <w:noProof/>
            <w:webHidden/>
          </w:rPr>
          <w:fldChar w:fldCharType="end"/>
        </w:r>
      </w:hyperlink>
    </w:p>
    <w:p w14:paraId="4CF74B45" w14:textId="140E1609" w:rsidR="00C72BA4" w:rsidRDefault="00C72BA4" w:rsidP="00C72BA4">
      <w:pPr>
        <w:rPr>
          <w:lang w:val="ru-RU"/>
        </w:rPr>
      </w:pPr>
      <w:r>
        <w:rPr>
          <w:lang w:val="ru-RU"/>
        </w:rPr>
        <w:lastRenderedPageBreak/>
        <w:fldChar w:fldCharType="end"/>
      </w:r>
    </w:p>
    <w:p w14:paraId="20B51AD9" w14:textId="1C5A5F1B"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Данный экспертный отчет подробно описывает функции и особенности двух ключевых институциональных столпов, необходимых для успешного развития национальной ядерной энергетической программы: Межведомственной Экспертной Рабочей Группы по Атомной Энергетике (МЭРГ), являющейся аналогом Nuclear Energy Programme Implementing Organization, или NEPIO, и Директората, выполняющего роль независимого национального регулятора. Анализ основан на руководящих принципах Международного агентства по атомной энергии (МАГАТЭ) и международном опыте стран, начинающих или развивающих ядерные программы.</w:t>
      </w:r>
    </w:p>
    <w:p w14:paraId="2E32C559" w14:textId="77777777" w:rsidR="00C72BA4" w:rsidRDefault="00000000" w:rsidP="00C72BA4">
      <w:pPr>
        <w:pStyle w:val="2"/>
        <w:spacing w:before="0" w:after="120" w:line="275" w:lineRule="auto"/>
        <w:jc w:val="both"/>
        <w:rPr>
          <w:rFonts w:ascii="Calibri" w:eastAsia="Google Sans" w:hAnsi="Calibri" w:cs="Calibri"/>
          <w:color w:val="1B1C1D"/>
        </w:rPr>
      </w:pPr>
      <w:bookmarkStart w:id="0" w:name="_Toc210581563"/>
      <w:r w:rsidRPr="00C72BA4">
        <w:rPr>
          <w:rFonts w:ascii="Calibri" w:eastAsia="Google Sans" w:hAnsi="Calibri" w:cs="Calibri"/>
          <w:color w:val="1B1C1D"/>
        </w:rPr>
        <w:t>I. Концептуальная Основа: Институциональные Столпы Ядерной Инфраструктуры (Модель МАГАТЭ)</w:t>
      </w:r>
      <w:bookmarkEnd w:id="0"/>
    </w:p>
    <w:p w14:paraId="6631DAB8" w14:textId="4831811B" w:rsidR="00C72BA4" w:rsidRDefault="00000000" w:rsidP="00C72BA4">
      <w:pPr>
        <w:pStyle w:val="3"/>
        <w:spacing w:before="0" w:after="120" w:line="275" w:lineRule="auto"/>
        <w:jc w:val="both"/>
        <w:rPr>
          <w:rFonts w:ascii="Calibri" w:eastAsia="Google Sans" w:hAnsi="Calibri" w:cs="Calibri"/>
          <w:color w:val="1B1C1D"/>
        </w:rPr>
      </w:pPr>
      <w:bookmarkStart w:id="1" w:name="_Toc210581564"/>
      <w:r w:rsidRPr="00C72BA4">
        <w:rPr>
          <w:rFonts w:ascii="Calibri" w:eastAsia="Google Sans" w:hAnsi="Calibri" w:cs="Calibri"/>
          <w:color w:val="1B1C1D"/>
        </w:rPr>
        <w:t>1.1. Введение: Необходимость Комплексной Инфраструктуры и Принцип МАГАТЭ Milestones</w:t>
      </w:r>
      <w:bookmarkEnd w:id="1"/>
    </w:p>
    <w:p w14:paraId="6900CA11" w14:textId="148FA822"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Успешный запуск национальной ядерной программы требует создания всеобъемлющей национальной инфраструктуры, состоящей из 19 элементов. Развитие этой инфраструктуры структурировано в соответствии с моделью МАГАТЭ "Milestones" (NG-G-3.1), которая разделяет процесс на три фазы.</w:t>
      </w:r>
      <w:r w:rsidRPr="00C72BA4">
        <w:rPr>
          <w:rFonts w:ascii="Calibri" w:eastAsia="Google Sans Text" w:hAnsi="Calibri" w:cs="Calibri"/>
          <w:color w:val="575B5F"/>
          <w:sz w:val="24"/>
          <w:szCs w:val="24"/>
          <w:vertAlign w:val="superscript"/>
        </w:rPr>
        <w:t>1</w:t>
      </w:r>
      <w:r w:rsidRPr="00C72BA4">
        <w:rPr>
          <w:rFonts w:ascii="Calibri" w:eastAsia="Google Sans Text" w:hAnsi="Calibri" w:cs="Calibri"/>
          <w:color w:val="1B1C1D"/>
        </w:rPr>
        <w:t xml:space="preserve"> Центральное место в этом процессе занимает институциональная структура, которая должна четко разграничивать функцию реализации программы и функцию независимого надзора.</w:t>
      </w:r>
    </w:p>
    <w:p w14:paraId="5E54E2B0"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Ключевым вызовом для любого государства, начинающего ядерную программу, является обеспечение устойчивого и сильного государственного обязательства (Strong Government Commitment), которое служит основой для всей инфраструктуры.</w:t>
      </w:r>
      <w:r w:rsidRPr="00C72BA4">
        <w:rPr>
          <w:rFonts w:ascii="Calibri" w:eastAsia="Google Sans Text" w:hAnsi="Calibri" w:cs="Calibri"/>
          <w:color w:val="575B5F"/>
          <w:sz w:val="24"/>
          <w:szCs w:val="24"/>
          <w:vertAlign w:val="superscript"/>
        </w:rPr>
        <w:t>2</w:t>
      </w:r>
      <w:r w:rsidRPr="00C72BA4">
        <w:rPr>
          <w:rFonts w:ascii="Calibri" w:eastAsia="Google Sans Text" w:hAnsi="Calibri" w:cs="Calibri"/>
          <w:color w:val="1B1C1D"/>
        </w:rPr>
        <w:t xml:space="preserve"> Это обязательство должно быть юридически закреплено.</w:t>
      </w:r>
    </w:p>
    <w:p w14:paraId="2CD17045"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Институциональная структура требует строгого разделения ролей между МЭРГ, которая продвигает и реализует программу, и Директоратом, который осуществляет независимый регуляторный надзор.</w:t>
      </w:r>
      <w:r w:rsidRPr="00C72BA4">
        <w:rPr>
          <w:rFonts w:ascii="Calibri" w:eastAsia="Google Sans Text" w:hAnsi="Calibri" w:cs="Calibri"/>
          <w:color w:val="575B5F"/>
          <w:sz w:val="24"/>
          <w:szCs w:val="24"/>
          <w:vertAlign w:val="superscript"/>
        </w:rPr>
        <w:t>3</w:t>
      </w:r>
      <w:r w:rsidRPr="00C72BA4">
        <w:rPr>
          <w:rFonts w:ascii="Calibri" w:eastAsia="Google Sans Text" w:hAnsi="Calibri" w:cs="Calibri"/>
          <w:color w:val="1B1C1D"/>
        </w:rPr>
        <w:t xml:space="preserve"> Это разделение является не просто административной мерой, а фундаментальным требованием, обусловленным конфликтом интересов. Если Директорат не обладает полной независимостью, его способность обеспечить безопасность (Safety) будет скомпрометирована интересами ускоренного развертывания или минимизации затрат, что является естественной целью промоутера (МЭРГ). Сохранение автономии Директората необходимо для поддержания внутренней культуры безопасности </w:t>
      </w:r>
      <w:r w:rsidRPr="00C72BA4">
        <w:rPr>
          <w:rFonts w:ascii="Calibri" w:eastAsia="Google Sans Text" w:hAnsi="Calibri" w:cs="Calibri"/>
          <w:color w:val="575B5F"/>
          <w:sz w:val="24"/>
          <w:szCs w:val="24"/>
          <w:vertAlign w:val="superscript"/>
        </w:rPr>
        <w:t>5</w:t>
      </w:r>
      <w:r w:rsidRPr="00C72BA4">
        <w:rPr>
          <w:rFonts w:ascii="Calibri" w:eastAsia="Google Sans Text" w:hAnsi="Calibri" w:cs="Calibri"/>
          <w:color w:val="1B1C1D"/>
        </w:rPr>
        <w:t xml:space="preserve"> и, что не менее важно, для сохранения международного доверия, без которого невозможно получить критически важные технологии и соблюсти обязательства по нераспространению.</w:t>
      </w:r>
      <w:r w:rsidRPr="00C72BA4">
        <w:rPr>
          <w:rFonts w:ascii="Calibri" w:eastAsia="Google Sans Text" w:hAnsi="Calibri" w:cs="Calibri"/>
          <w:color w:val="575B5F"/>
          <w:sz w:val="24"/>
          <w:szCs w:val="24"/>
          <w:vertAlign w:val="superscript"/>
        </w:rPr>
        <w:t>6</w:t>
      </w:r>
    </w:p>
    <w:p w14:paraId="4189F0B9" w14:textId="77777777" w:rsidR="00C72BA4" w:rsidRDefault="00000000" w:rsidP="00C72BA4">
      <w:pPr>
        <w:pStyle w:val="3"/>
        <w:spacing w:before="0" w:after="120" w:line="275" w:lineRule="auto"/>
        <w:jc w:val="both"/>
        <w:rPr>
          <w:rFonts w:ascii="Calibri" w:eastAsia="Google Sans" w:hAnsi="Calibri" w:cs="Calibri"/>
          <w:color w:val="1B1C1D"/>
        </w:rPr>
      </w:pPr>
      <w:bookmarkStart w:id="2" w:name="_Toc210581565"/>
      <w:r w:rsidRPr="00C72BA4">
        <w:rPr>
          <w:rFonts w:ascii="Calibri" w:eastAsia="Google Sans" w:hAnsi="Calibri" w:cs="Calibri"/>
          <w:color w:val="1B1C1D"/>
        </w:rPr>
        <w:t>1.2. Определения: Межведомственная Рабочая Группа (МЭРГ, аналог NEPIO)</w:t>
      </w:r>
      <w:bookmarkEnd w:id="2"/>
    </w:p>
    <w:p w14:paraId="0FC9D2DC" w14:textId="79CCD164"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МЭРГ выступает в качестве центрального координирующего органа, ответственного за разработку, всестороннюю оценку и последующую реализацию национальной ядерной энергетической </w:t>
      </w:r>
      <w:r w:rsidRPr="00C72BA4">
        <w:rPr>
          <w:rFonts w:ascii="Calibri" w:eastAsia="Google Sans Text" w:hAnsi="Calibri" w:cs="Calibri"/>
          <w:color w:val="1B1C1D"/>
        </w:rPr>
        <w:lastRenderedPageBreak/>
        <w:t>программы.</w:t>
      </w:r>
      <w:r w:rsidRPr="00C72BA4">
        <w:rPr>
          <w:rFonts w:ascii="Calibri" w:eastAsia="Google Sans Text" w:hAnsi="Calibri" w:cs="Calibri"/>
          <w:color w:val="575B5F"/>
          <w:sz w:val="24"/>
          <w:szCs w:val="24"/>
          <w:vertAlign w:val="superscript"/>
        </w:rPr>
        <w:t>7</w:t>
      </w:r>
      <w:r w:rsidRPr="00C72BA4">
        <w:rPr>
          <w:rFonts w:ascii="Calibri" w:eastAsia="Google Sans Text" w:hAnsi="Calibri" w:cs="Calibri"/>
          <w:color w:val="1B1C1D"/>
        </w:rPr>
        <w:t xml:space="preserve"> Ее статус и полномочия должны быть четко определены.</w:t>
      </w:r>
      <w:r w:rsidRPr="00C72BA4">
        <w:rPr>
          <w:rFonts w:ascii="Calibri" w:eastAsia="Google Sans Text" w:hAnsi="Calibri" w:cs="Calibri"/>
          <w:color w:val="575B5F"/>
          <w:sz w:val="24"/>
          <w:szCs w:val="24"/>
          <w:vertAlign w:val="superscript"/>
        </w:rPr>
        <w:t>4</w:t>
      </w:r>
    </w:p>
    <w:p w14:paraId="5B68E607"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Организации, выполняющие функции МЭРГ, должны иметь полномочия для привлечения к работе всех соответствующих государственных структур, включая министерства энергетики, финансов, образования, экологии, а также взаимодействовать с международными организациями, такими как МАГАТЭ.</w:t>
      </w:r>
      <w:r w:rsidRPr="00C72BA4">
        <w:rPr>
          <w:rFonts w:ascii="Calibri" w:eastAsia="Google Sans Text" w:hAnsi="Calibri" w:cs="Calibri"/>
          <w:color w:val="575B5F"/>
          <w:sz w:val="24"/>
          <w:szCs w:val="24"/>
          <w:vertAlign w:val="superscript"/>
        </w:rPr>
        <w:t>4</w:t>
      </w:r>
      <w:r w:rsidRPr="00C72BA4">
        <w:rPr>
          <w:rFonts w:ascii="Calibri" w:eastAsia="Google Sans Text" w:hAnsi="Calibri" w:cs="Calibri"/>
          <w:color w:val="1B1C1D"/>
        </w:rPr>
        <w:t xml:space="preserve"> Для поддержания долгосрочной государственной приверженности проекту, МЭРГ должна регулярно отчитываться перед высшими должностными лицами государства.</w:t>
      </w:r>
      <w:r w:rsidRPr="00C72BA4">
        <w:rPr>
          <w:rFonts w:ascii="Calibri" w:eastAsia="Google Sans Text" w:hAnsi="Calibri" w:cs="Calibri"/>
          <w:color w:val="575B5F"/>
          <w:sz w:val="24"/>
          <w:szCs w:val="24"/>
          <w:vertAlign w:val="superscript"/>
        </w:rPr>
        <w:t>4</w:t>
      </w:r>
    </w:p>
    <w:p w14:paraId="537EC25B" w14:textId="77777777" w:rsidR="00C72BA4" w:rsidRDefault="00000000" w:rsidP="00C72BA4">
      <w:pPr>
        <w:pStyle w:val="3"/>
        <w:spacing w:before="0" w:after="120" w:line="275" w:lineRule="auto"/>
        <w:jc w:val="both"/>
        <w:rPr>
          <w:rFonts w:ascii="Calibri" w:eastAsia="Google Sans" w:hAnsi="Calibri" w:cs="Calibri"/>
          <w:color w:val="1B1C1D"/>
        </w:rPr>
      </w:pPr>
      <w:bookmarkStart w:id="3" w:name="_Toc210581566"/>
      <w:r w:rsidRPr="00C72BA4">
        <w:rPr>
          <w:rFonts w:ascii="Calibri" w:eastAsia="Google Sans" w:hAnsi="Calibri" w:cs="Calibri"/>
          <w:color w:val="1B1C1D"/>
        </w:rPr>
        <w:t>1.3. Определения: Директорат (Регуляторный Орган)</w:t>
      </w:r>
      <w:bookmarkEnd w:id="3"/>
    </w:p>
    <w:p w14:paraId="176A1B67" w14:textId="624D889C"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Директорат представляет собой национальный регуляторный орган, отвечающий за радиологическую и ядерную безопасность. Например, в Сербии эта роль принадлежит Директорату за радијациону и нуклеарну сигурност и безбедност (СРБАТОМ).</w:t>
      </w:r>
      <w:r w:rsidRPr="00C72BA4">
        <w:rPr>
          <w:rFonts w:ascii="Calibri" w:eastAsia="Google Sans Text" w:hAnsi="Calibri" w:cs="Calibri"/>
          <w:color w:val="575B5F"/>
          <w:sz w:val="24"/>
          <w:szCs w:val="24"/>
          <w:vertAlign w:val="superscript"/>
        </w:rPr>
        <w:t>8</w:t>
      </w:r>
    </w:p>
    <w:p w14:paraId="43DFA843"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Основная миссия Директората включает регулирование, контроль безопасности, физической защиты (security) и гарантий (safeguards), а также обеспечение защиты населения и окружающей среды.</w:t>
      </w:r>
      <w:r w:rsidRPr="00C72BA4">
        <w:rPr>
          <w:rFonts w:ascii="Calibri" w:eastAsia="Google Sans Text" w:hAnsi="Calibri" w:cs="Calibri"/>
          <w:color w:val="575B5F"/>
          <w:sz w:val="24"/>
          <w:szCs w:val="24"/>
          <w:vertAlign w:val="superscript"/>
        </w:rPr>
        <w:t>2</w:t>
      </w:r>
      <w:r w:rsidRPr="00C72BA4">
        <w:rPr>
          <w:rFonts w:ascii="Calibri" w:eastAsia="Google Sans Text" w:hAnsi="Calibri" w:cs="Calibri"/>
          <w:color w:val="1B1C1D"/>
        </w:rPr>
        <w:t xml:space="preserve"> Эффективный регулятор должен обладать широким спектром компетенций, выходящих за рамки чисто технических знаний. Необходимы также организационные и юридические компетенции, а также знание человеческих факторов.</w:t>
      </w:r>
      <w:r w:rsidRPr="00C72BA4">
        <w:rPr>
          <w:rFonts w:ascii="Calibri" w:eastAsia="Google Sans Text" w:hAnsi="Calibri" w:cs="Calibri"/>
          <w:color w:val="575B5F"/>
          <w:sz w:val="24"/>
          <w:szCs w:val="24"/>
          <w:vertAlign w:val="superscript"/>
        </w:rPr>
        <w:t>3</w:t>
      </w:r>
    </w:p>
    <w:p w14:paraId="0F24D347" w14:textId="77777777" w:rsidR="00C72BA4" w:rsidRDefault="00000000" w:rsidP="00C72BA4">
      <w:pPr>
        <w:pStyle w:val="2"/>
        <w:spacing w:before="0" w:after="120" w:line="275" w:lineRule="auto"/>
        <w:jc w:val="both"/>
        <w:rPr>
          <w:rFonts w:ascii="Calibri" w:eastAsia="Google Sans" w:hAnsi="Calibri" w:cs="Calibri"/>
          <w:color w:val="1B1C1D"/>
        </w:rPr>
      </w:pPr>
      <w:bookmarkStart w:id="4" w:name="_Toc210581567"/>
      <w:r w:rsidRPr="00C72BA4">
        <w:rPr>
          <w:rFonts w:ascii="Calibri" w:eastAsia="Google Sans" w:hAnsi="Calibri" w:cs="Calibri"/>
          <w:color w:val="1B1C1D"/>
        </w:rPr>
        <w:t>II. Межведомственная Экспертная Рабочая Группа (МЭРГ): Функции Органа по Реализации Программы (NEPIO)</w:t>
      </w:r>
      <w:bookmarkEnd w:id="4"/>
    </w:p>
    <w:p w14:paraId="5EBD58AE" w14:textId="6CC9A752" w:rsidR="00C72BA4" w:rsidRDefault="00000000" w:rsidP="00C72BA4">
      <w:pPr>
        <w:pStyle w:val="3"/>
        <w:spacing w:before="0" w:after="120" w:line="275" w:lineRule="auto"/>
        <w:jc w:val="both"/>
        <w:rPr>
          <w:rFonts w:ascii="Calibri" w:eastAsia="Google Sans" w:hAnsi="Calibri" w:cs="Calibri"/>
          <w:color w:val="1B1C1D"/>
        </w:rPr>
      </w:pPr>
      <w:bookmarkStart w:id="5" w:name="_Toc210581568"/>
      <w:r w:rsidRPr="00C72BA4">
        <w:rPr>
          <w:rFonts w:ascii="Calibri" w:eastAsia="Google Sans" w:hAnsi="Calibri" w:cs="Calibri"/>
          <w:color w:val="1B1C1D"/>
        </w:rPr>
        <w:t>2.1. Идеи и Положения МЭРГ: Стратегическое Продвижение</w:t>
      </w:r>
      <w:bookmarkEnd w:id="5"/>
    </w:p>
    <w:p w14:paraId="1851F3EC" w14:textId="12BFAF86"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Учреждение МЭРГ должно следовать за принятием четкого политического решения правительства о включении ядерной энергетики в национальную повестку дня, желательно при наличии народной поддержки.</w:t>
      </w:r>
      <w:r w:rsidRPr="00C72BA4">
        <w:rPr>
          <w:rFonts w:ascii="Calibri" w:eastAsia="Google Sans Text" w:hAnsi="Calibri" w:cs="Calibri"/>
          <w:color w:val="575B5F"/>
          <w:sz w:val="24"/>
          <w:szCs w:val="24"/>
          <w:vertAlign w:val="superscript"/>
        </w:rPr>
        <w:t>7</w:t>
      </w:r>
    </w:p>
    <w:p w14:paraId="189200E4"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На начальной Фазе 1 (согласно МАГАТЭ) МЭРГ фокусируется на критически важных первичных задачах. К ним относятся проведение предварительного технико-экономического обоснования (Pre-feasibility study), оценка потребностей в кадровом потенциале, адаптация или создание необходимой правовой базы, а также разработка комплексной коммуникационной стратегии.</w:t>
      </w:r>
      <w:r w:rsidRPr="00C72BA4">
        <w:rPr>
          <w:rFonts w:ascii="Calibri" w:eastAsia="Google Sans Text" w:hAnsi="Calibri" w:cs="Calibri"/>
          <w:color w:val="575B5F"/>
          <w:sz w:val="24"/>
          <w:szCs w:val="24"/>
          <w:vertAlign w:val="superscript"/>
        </w:rPr>
        <w:t>7</w:t>
      </w:r>
      <w:r w:rsidRPr="00C72BA4">
        <w:rPr>
          <w:rFonts w:ascii="Calibri" w:eastAsia="Google Sans Text" w:hAnsi="Calibri" w:cs="Calibri"/>
          <w:color w:val="1B1C1D"/>
        </w:rPr>
        <w:t xml:space="preserve"> Для выполнения этих функций МЭРГ должно быть обеспечено адекватным финансированием, позволяющим полностью оценить все долгосрочные обязательства, необходимые для реализации ядерной программы.</w:t>
      </w:r>
      <w:r w:rsidRPr="00C72BA4">
        <w:rPr>
          <w:rFonts w:ascii="Calibri" w:eastAsia="Google Sans Text" w:hAnsi="Calibri" w:cs="Calibri"/>
          <w:color w:val="575B5F"/>
          <w:sz w:val="24"/>
          <w:szCs w:val="24"/>
          <w:vertAlign w:val="superscript"/>
        </w:rPr>
        <w:t>11</w:t>
      </w:r>
    </w:p>
    <w:p w14:paraId="06DD0F2E" w14:textId="77777777" w:rsidR="00C72BA4" w:rsidRDefault="00000000" w:rsidP="00C72BA4">
      <w:pPr>
        <w:pStyle w:val="3"/>
        <w:spacing w:before="0" w:after="120" w:line="275" w:lineRule="auto"/>
        <w:jc w:val="both"/>
        <w:rPr>
          <w:rFonts w:ascii="Calibri" w:eastAsia="Google Sans" w:hAnsi="Calibri" w:cs="Calibri"/>
          <w:color w:val="1B1C1D"/>
        </w:rPr>
      </w:pPr>
      <w:bookmarkStart w:id="6" w:name="_Toc210581569"/>
      <w:r w:rsidRPr="00C72BA4">
        <w:rPr>
          <w:rFonts w:ascii="Calibri" w:eastAsia="Google Sans" w:hAnsi="Calibri" w:cs="Calibri"/>
          <w:color w:val="1B1C1D"/>
        </w:rPr>
        <w:t>2.2. Мандат и Функционал МЭРГ: Координация и Разработка Стратегий</w:t>
      </w:r>
      <w:bookmarkEnd w:id="6"/>
    </w:p>
    <w:p w14:paraId="114C9023" w14:textId="3438ECB1"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Мандат МЭРГ охватывает все аспекты подготовки инфраструктуры.</w:t>
      </w:r>
    </w:p>
    <w:p w14:paraId="41425A78"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b/>
          <w:color w:val="1B1C1D"/>
        </w:rPr>
        <w:t>Координационная функция</w:t>
      </w:r>
      <w:r w:rsidRPr="00C72BA4">
        <w:rPr>
          <w:rFonts w:ascii="Calibri" w:eastAsia="Google Sans Text" w:hAnsi="Calibri" w:cs="Calibri"/>
          <w:color w:val="1B1C1D"/>
        </w:rPr>
        <w:t xml:space="preserve"> является ключевой. МЭРГ обеспечивает взаимодействие между множеством заинтересованных сторон, включая профильные министерства, Директорат </w:t>
      </w:r>
      <w:r w:rsidRPr="00C72BA4">
        <w:rPr>
          <w:rFonts w:ascii="Calibri" w:eastAsia="Google Sans Text" w:hAnsi="Calibri" w:cs="Calibri"/>
          <w:color w:val="1B1C1D"/>
        </w:rPr>
        <w:lastRenderedPageBreak/>
        <w:t>(регулятор), университеты и будущего оператора.</w:t>
      </w:r>
      <w:r w:rsidRPr="00C72BA4">
        <w:rPr>
          <w:rFonts w:ascii="Calibri" w:eastAsia="Google Sans Text" w:hAnsi="Calibri" w:cs="Calibri"/>
          <w:color w:val="575B5F"/>
          <w:sz w:val="24"/>
          <w:szCs w:val="24"/>
          <w:vertAlign w:val="superscript"/>
        </w:rPr>
        <w:t>7</w:t>
      </w:r>
      <w:r w:rsidRPr="00C72BA4">
        <w:rPr>
          <w:rFonts w:ascii="Calibri" w:eastAsia="Google Sans Text" w:hAnsi="Calibri" w:cs="Calibri"/>
          <w:color w:val="1B1C1D"/>
        </w:rPr>
        <w:t xml:space="preserve"> Эта координация критически важна для создания единой дорожной карты, охватывающей все 19 элементов инфраструктуры.</w:t>
      </w:r>
      <w:r w:rsidRPr="00C72BA4">
        <w:rPr>
          <w:rFonts w:ascii="Calibri" w:eastAsia="Google Sans Text" w:hAnsi="Calibri" w:cs="Calibri"/>
          <w:color w:val="575B5F"/>
          <w:sz w:val="24"/>
          <w:szCs w:val="24"/>
          <w:vertAlign w:val="superscript"/>
        </w:rPr>
        <w:t>4</w:t>
      </w:r>
    </w:p>
    <w:p w14:paraId="29957993"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В области </w:t>
      </w:r>
      <w:r w:rsidRPr="00C72BA4">
        <w:rPr>
          <w:rFonts w:ascii="Calibri" w:eastAsia="Google Sans Text" w:hAnsi="Calibri" w:cs="Calibri"/>
          <w:b/>
          <w:color w:val="1B1C1D"/>
        </w:rPr>
        <w:t>финансирования</w:t>
      </w:r>
      <w:r w:rsidRPr="00C72BA4">
        <w:rPr>
          <w:rFonts w:ascii="Calibri" w:eastAsia="Google Sans Text" w:hAnsi="Calibri" w:cs="Calibri"/>
          <w:color w:val="1B1C1D"/>
        </w:rPr>
        <w:t xml:space="preserve"> МЭРГ отвечает за разработку устойчивых стратегий финансирования и обеспечения государственных гарантий.</w:t>
      </w:r>
      <w:r w:rsidRPr="00C72BA4">
        <w:rPr>
          <w:rFonts w:ascii="Calibri" w:eastAsia="Google Sans Text" w:hAnsi="Calibri" w:cs="Calibri"/>
          <w:color w:val="575B5F"/>
          <w:sz w:val="24"/>
          <w:szCs w:val="24"/>
          <w:vertAlign w:val="superscript"/>
        </w:rPr>
        <w:t>11</w:t>
      </w:r>
      <w:r w:rsidRPr="00C72BA4">
        <w:rPr>
          <w:rFonts w:ascii="Calibri" w:eastAsia="Google Sans Text" w:hAnsi="Calibri" w:cs="Calibri"/>
          <w:color w:val="1B1C1D"/>
        </w:rPr>
        <w:t xml:space="preserve"> Это жизненно важно для поддержки промышленного контрактования и снижения инвестиционных рисков. Роль МЭРГ выходит за рамки начального поиска капитала, охватывая разработку адекватных финансовых планов на весь жизненный цикл проекта, включая неизбежные затраты на обращение с радиоактивными отходами и вывод из эксплуатации.</w:t>
      </w:r>
      <w:r w:rsidRPr="00C72BA4">
        <w:rPr>
          <w:rFonts w:ascii="Calibri" w:eastAsia="Google Sans Text" w:hAnsi="Calibri" w:cs="Calibri"/>
          <w:color w:val="575B5F"/>
          <w:sz w:val="24"/>
          <w:szCs w:val="24"/>
          <w:vertAlign w:val="superscript"/>
        </w:rPr>
        <w:t>12</w:t>
      </w:r>
      <w:r w:rsidRPr="00C72BA4">
        <w:rPr>
          <w:rFonts w:ascii="Calibri" w:eastAsia="Google Sans Text" w:hAnsi="Calibri" w:cs="Calibri"/>
          <w:color w:val="1B1C1D"/>
        </w:rPr>
        <w:t xml:space="preserve"> Отсутствие адекватного финансового планирования на ранней стадии (Milestone 1) может привести к неразрешимым проблемам во время эксплуатации.</w:t>
      </w:r>
    </w:p>
    <w:p w14:paraId="6665B6EB"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В части </w:t>
      </w:r>
      <w:r w:rsidRPr="00C72BA4">
        <w:rPr>
          <w:rFonts w:ascii="Calibri" w:eastAsia="Google Sans Text" w:hAnsi="Calibri" w:cs="Calibri"/>
          <w:b/>
          <w:color w:val="1B1C1D"/>
        </w:rPr>
        <w:t>кадровых ресурсов</w:t>
      </w:r>
      <w:r w:rsidRPr="00C72BA4">
        <w:rPr>
          <w:rFonts w:ascii="Calibri" w:eastAsia="Google Sans Text" w:hAnsi="Calibri" w:cs="Calibri"/>
          <w:color w:val="1B1C1D"/>
        </w:rPr>
        <w:t xml:space="preserve"> МЭРГ курирует разработку долгосрочного плана рабочей силы и компетенций (Workforce Planning) </w:t>
      </w:r>
      <w:r w:rsidRPr="00C72BA4">
        <w:rPr>
          <w:rFonts w:ascii="Calibri" w:eastAsia="Google Sans Text" w:hAnsi="Calibri" w:cs="Calibri"/>
          <w:color w:val="575B5F"/>
          <w:sz w:val="24"/>
          <w:szCs w:val="24"/>
          <w:vertAlign w:val="superscript"/>
        </w:rPr>
        <w:t>11</w:t>
      </w:r>
      <w:r w:rsidRPr="00C72BA4">
        <w:rPr>
          <w:rFonts w:ascii="Calibri" w:eastAsia="Google Sans Text" w:hAnsi="Calibri" w:cs="Calibri"/>
          <w:color w:val="1B1C1D"/>
        </w:rPr>
        <w:t>, включая партнерские программы с университетами для подготовки первых групп специалистов.</w:t>
      </w:r>
      <w:r w:rsidRPr="00C72BA4">
        <w:rPr>
          <w:rFonts w:ascii="Calibri" w:eastAsia="Google Sans Text" w:hAnsi="Calibri" w:cs="Calibri"/>
          <w:color w:val="575B5F"/>
          <w:sz w:val="24"/>
          <w:szCs w:val="24"/>
          <w:vertAlign w:val="superscript"/>
        </w:rPr>
        <w:t>7</w:t>
      </w:r>
    </w:p>
    <w:p w14:paraId="67275040"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Наконец, в сфере </w:t>
      </w:r>
      <w:r w:rsidRPr="00C72BA4">
        <w:rPr>
          <w:rFonts w:ascii="Calibri" w:eastAsia="Google Sans Text" w:hAnsi="Calibri" w:cs="Calibri"/>
          <w:b/>
          <w:color w:val="1B1C1D"/>
        </w:rPr>
        <w:t>юридической базы</w:t>
      </w:r>
      <w:r w:rsidRPr="00C72BA4">
        <w:rPr>
          <w:rFonts w:ascii="Calibri" w:eastAsia="Google Sans Text" w:hAnsi="Calibri" w:cs="Calibri"/>
          <w:color w:val="1B1C1D"/>
        </w:rPr>
        <w:t xml:space="preserve"> МЭРГ координирует с Директоратом внедрение новых законов.</w:t>
      </w:r>
      <w:r w:rsidRPr="00C72BA4">
        <w:rPr>
          <w:rFonts w:ascii="Calibri" w:eastAsia="Google Sans Text" w:hAnsi="Calibri" w:cs="Calibri"/>
          <w:color w:val="575B5F"/>
          <w:sz w:val="24"/>
          <w:szCs w:val="24"/>
          <w:vertAlign w:val="superscript"/>
        </w:rPr>
        <w:t>7</w:t>
      </w:r>
      <w:r w:rsidRPr="00C72BA4">
        <w:rPr>
          <w:rFonts w:ascii="Calibri" w:eastAsia="Google Sans Text" w:hAnsi="Calibri" w:cs="Calibri"/>
          <w:color w:val="1B1C1D"/>
        </w:rPr>
        <w:t xml:space="preserve"> Это включает дополнение существующих законов положениями о защите иностранных инвестиций и интеллектуальной собственности, что создает стабильную и предсказуемую правовую среду для потенциальных вендоров и инвесторов.</w:t>
      </w:r>
      <w:r w:rsidRPr="00C72BA4">
        <w:rPr>
          <w:rFonts w:ascii="Calibri" w:eastAsia="Google Sans Text" w:hAnsi="Calibri" w:cs="Calibri"/>
          <w:color w:val="575B5F"/>
          <w:sz w:val="24"/>
          <w:szCs w:val="24"/>
          <w:vertAlign w:val="superscript"/>
        </w:rPr>
        <w:t>12</w:t>
      </w:r>
    </w:p>
    <w:p w14:paraId="247CAA0F"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Принимая во внимание, что ядерные экспортные программы часто переплетаются с геополитическими интересами </w:t>
      </w:r>
      <w:r w:rsidRPr="00C72BA4">
        <w:rPr>
          <w:rFonts w:ascii="Calibri" w:eastAsia="Google Sans Text" w:hAnsi="Calibri" w:cs="Calibri"/>
          <w:color w:val="575B5F"/>
          <w:sz w:val="24"/>
          <w:szCs w:val="24"/>
          <w:vertAlign w:val="superscript"/>
        </w:rPr>
        <w:t>14</w:t>
      </w:r>
      <w:r w:rsidRPr="00C72BA4">
        <w:rPr>
          <w:rFonts w:ascii="Calibri" w:eastAsia="Google Sans Text" w:hAnsi="Calibri" w:cs="Calibri"/>
          <w:color w:val="1B1C1D"/>
        </w:rPr>
        <w:t>, МЭРГ должна гарантировать выбор вендора на основе четких и прозрачных критериев, полностью исключающих политическое вмешательство.</w:t>
      </w:r>
      <w:r w:rsidRPr="00C72BA4">
        <w:rPr>
          <w:rFonts w:ascii="Calibri" w:eastAsia="Google Sans Text" w:hAnsi="Calibri" w:cs="Calibri"/>
          <w:color w:val="575B5F"/>
          <w:sz w:val="24"/>
          <w:szCs w:val="24"/>
          <w:vertAlign w:val="superscript"/>
        </w:rPr>
        <w:t>15</w:t>
      </w:r>
      <w:r w:rsidRPr="00C72BA4">
        <w:rPr>
          <w:rFonts w:ascii="Calibri" w:eastAsia="Google Sans Text" w:hAnsi="Calibri" w:cs="Calibri"/>
          <w:color w:val="1B1C1D"/>
        </w:rPr>
        <w:t xml:space="preserve"> Такая прозрачность помогает стране-новичку завоевать международное доверие, как это продемонстрировали ОАЭ </w:t>
      </w:r>
      <w:r w:rsidRPr="00C72BA4">
        <w:rPr>
          <w:rFonts w:ascii="Calibri" w:eastAsia="Google Sans Text" w:hAnsi="Calibri" w:cs="Calibri"/>
          <w:color w:val="575B5F"/>
          <w:sz w:val="24"/>
          <w:szCs w:val="24"/>
          <w:vertAlign w:val="superscript"/>
        </w:rPr>
        <w:t>6</w:t>
      </w:r>
      <w:r w:rsidRPr="00C72BA4">
        <w:rPr>
          <w:rFonts w:ascii="Calibri" w:eastAsia="Google Sans Text" w:hAnsi="Calibri" w:cs="Calibri"/>
          <w:color w:val="1B1C1D"/>
        </w:rPr>
        <w:t>, и избежать восприятия в качестве инструмента в геополитических играх.</w:t>
      </w:r>
    </w:p>
    <w:p w14:paraId="6A772B60" w14:textId="77777777" w:rsidR="00C72BA4" w:rsidRDefault="00000000" w:rsidP="00C72BA4">
      <w:pPr>
        <w:pStyle w:val="2"/>
        <w:spacing w:before="0" w:after="120" w:line="275" w:lineRule="auto"/>
        <w:jc w:val="both"/>
        <w:rPr>
          <w:rFonts w:ascii="Calibri" w:eastAsia="Google Sans" w:hAnsi="Calibri" w:cs="Calibri"/>
          <w:color w:val="1B1C1D"/>
        </w:rPr>
      </w:pPr>
      <w:bookmarkStart w:id="7" w:name="_Toc210581570"/>
      <w:r w:rsidRPr="00C72BA4">
        <w:rPr>
          <w:rFonts w:ascii="Calibri" w:eastAsia="Google Sans" w:hAnsi="Calibri" w:cs="Calibri"/>
          <w:color w:val="1B1C1D"/>
        </w:rPr>
        <w:t>III. Директорат: Роль Национального Органа по Ядерной и Радиационной Безопасности (Регулятор)</w:t>
      </w:r>
      <w:bookmarkEnd w:id="7"/>
    </w:p>
    <w:p w14:paraId="1FF62D0B" w14:textId="12CA0038" w:rsidR="00C72BA4" w:rsidRDefault="00000000" w:rsidP="00C72BA4">
      <w:pPr>
        <w:pStyle w:val="3"/>
        <w:spacing w:before="0" w:after="120" w:line="275" w:lineRule="auto"/>
        <w:jc w:val="both"/>
        <w:rPr>
          <w:rFonts w:ascii="Calibri" w:eastAsia="Google Sans" w:hAnsi="Calibri" w:cs="Calibri"/>
          <w:color w:val="1B1C1D"/>
        </w:rPr>
      </w:pPr>
      <w:bookmarkStart w:id="8" w:name="_Toc210581571"/>
      <w:r w:rsidRPr="00C72BA4">
        <w:rPr>
          <w:rFonts w:ascii="Calibri" w:eastAsia="Google Sans" w:hAnsi="Calibri" w:cs="Calibri"/>
          <w:color w:val="1B1C1D"/>
        </w:rPr>
        <w:t>3.1. Требование Независимости: Краеугольный Камень Доверия</w:t>
      </w:r>
      <w:bookmarkEnd w:id="8"/>
    </w:p>
    <w:p w14:paraId="4267B326" w14:textId="70163B84"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Функционирование Директората критически зависит от его независимости. Регулятор должен быть полностью независим как от операторов, так и от политического влияния.</w:t>
      </w:r>
      <w:r w:rsidRPr="00C72BA4">
        <w:rPr>
          <w:rFonts w:ascii="Calibri" w:eastAsia="Google Sans Text" w:hAnsi="Calibri" w:cs="Calibri"/>
          <w:color w:val="575B5F"/>
          <w:sz w:val="24"/>
          <w:szCs w:val="24"/>
          <w:vertAlign w:val="superscript"/>
        </w:rPr>
        <w:t>3</w:t>
      </w:r>
      <w:r w:rsidRPr="00C72BA4">
        <w:rPr>
          <w:rFonts w:ascii="Calibri" w:eastAsia="Google Sans Text" w:hAnsi="Calibri" w:cs="Calibri"/>
          <w:color w:val="1B1C1D"/>
        </w:rPr>
        <w:t xml:space="preserve"> Именно эта двойная независимость является решающим фактором для обеспечения международного доверия и легитимности программы, что видно на примере успеха ОАЭ, который был построен на строгом соблюдении нераспространения и независимом надзоре.</w:t>
      </w:r>
      <w:r w:rsidRPr="00C72BA4">
        <w:rPr>
          <w:rFonts w:ascii="Calibri" w:eastAsia="Google Sans Text" w:hAnsi="Calibri" w:cs="Calibri"/>
          <w:color w:val="575B5F"/>
          <w:sz w:val="24"/>
          <w:szCs w:val="24"/>
          <w:vertAlign w:val="superscript"/>
        </w:rPr>
        <w:t>6</w:t>
      </w:r>
    </w:p>
    <w:p w14:paraId="7C948C0A"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Для обеспечения этой независимости, Директорат должен обладать полной юридической властью для реализации всех функций, возложенных на него национальным законодательством.</w:t>
      </w:r>
      <w:r w:rsidRPr="00C72BA4">
        <w:rPr>
          <w:rFonts w:ascii="Calibri" w:eastAsia="Google Sans Text" w:hAnsi="Calibri" w:cs="Calibri"/>
          <w:color w:val="575B5F"/>
          <w:sz w:val="24"/>
          <w:szCs w:val="24"/>
          <w:vertAlign w:val="superscript"/>
        </w:rPr>
        <w:t>12</w:t>
      </w:r>
      <w:r w:rsidRPr="00C72BA4">
        <w:rPr>
          <w:rFonts w:ascii="Calibri" w:eastAsia="Google Sans Text" w:hAnsi="Calibri" w:cs="Calibri"/>
          <w:color w:val="1B1C1D"/>
        </w:rPr>
        <w:t xml:space="preserve"> Более того, независимость должна быть финансовой: законодательство должно предусматривать </w:t>
      </w:r>
      <w:r w:rsidRPr="00C72BA4">
        <w:rPr>
          <w:rFonts w:ascii="Calibri" w:eastAsia="Google Sans Text" w:hAnsi="Calibri" w:cs="Calibri"/>
          <w:color w:val="1B1C1D"/>
        </w:rPr>
        <w:lastRenderedPageBreak/>
        <w:t>адекватное бюджетное финансирование для учреждения и укомплектования штата.</w:t>
      </w:r>
      <w:r w:rsidRPr="00C72BA4">
        <w:rPr>
          <w:rFonts w:ascii="Calibri" w:eastAsia="Google Sans Text" w:hAnsi="Calibri" w:cs="Calibri"/>
          <w:color w:val="575B5F"/>
          <w:sz w:val="24"/>
          <w:szCs w:val="24"/>
          <w:vertAlign w:val="superscript"/>
        </w:rPr>
        <w:t>12</w:t>
      </w:r>
      <w:r w:rsidRPr="00C72BA4">
        <w:rPr>
          <w:rFonts w:ascii="Calibri" w:eastAsia="Google Sans Text" w:hAnsi="Calibri" w:cs="Calibri"/>
          <w:color w:val="1B1C1D"/>
        </w:rPr>
        <w:t xml:space="preserve"> Отсутствие достаточных средств может привести к "регуляторному пробелу в компетентности" (regulatory capability gaps) </w:t>
      </w:r>
      <w:r w:rsidRPr="00C72BA4">
        <w:rPr>
          <w:rFonts w:ascii="Calibri" w:eastAsia="Google Sans Text" w:hAnsi="Calibri" w:cs="Calibri"/>
          <w:color w:val="575B5F"/>
          <w:sz w:val="24"/>
          <w:szCs w:val="24"/>
          <w:vertAlign w:val="superscript"/>
        </w:rPr>
        <w:t>16</w:t>
      </w:r>
      <w:r w:rsidRPr="00C72BA4">
        <w:rPr>
          <w:rFonts w:ascii="Calibri" w:eastAsia="Google Sans Text" w:hAnsi="Calibri" w:cs="Calibri"/>
          <w:color w:val="1B1C1D"/>
        </w:rPr>
        <w:t>, вынуждая страну чрезмерно полагаться на внешнюю поддержку, что потенциально ставит под угрозу суверенность регуляторных решений.</w:t>
      </w:r>
      <w:r w:rsidRPr="00C72BA4">
        <w:rPr>
          <w:rFonts w:ascii="Calibri" w:eastAsia="Google Sans Text" w:hAnsi="Calibri" w:cs="Calibri"/>
          <w:color w:val="575B5F"/>
          <w:sz w:val="24"/>
          <w:szCs w:val="24"/>
          <w:vertAlign w:val="superscript"/>
        </w:rPr>
        <w:t>17</w:t>
      </w:r>
    </w:p>
    <w:p w14:paraId="02B6DB9E" w14:textId="77777777" w:rsidR="00C72BA4" w:rsidRDefault="00000000" w:rsidP="00C72BA4">
      <w:pPr>
        <w:pStyle w:val="3"/>
        <w:spacing w:before="0" w:after="120" w:line="275" w:lineRule="auto"/>
        <w:jc w:val="both"/>
        <w:rPr>
          <w:rFonts w:ascii="Calibri" w:eastAsia="Google Sans" w:hAnsi="Calibri" w:cs="Calibri"/>
          <w:color w:val="1B1C1D"/>
        </w:rPr>
      </w:pPr>
      <w:bookmarkStart w:id="9" w:name="_Toc210581572"/>
      <w:r w:rsidRPr="00C72BA4">
        <w:rPr>
          <w:rFonts w:ascii="Calibri" w:eastAsia="Google Sans" w:hAnsi="Calibri" w:cs="Calibri"/>
          <w:color w:val="1B1C1D"/>
        </w:rPr>
        <w:t>3.2. Функционал Директората: От Законодательства до Инспекции</w:t>
      </w:r>
      <w:bookmarkEnd w:id="9"/>
    </w:p>
    <w:p w14:paraId="5B3511EF" w14:textId="69CD4401"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Основная работа Директората заключается в разработке, поддержании и применении надежной регуляторной инфраструктуры. Директорат постоянно пересматривает и обновляет свои нормативы и руководства, чтобы обеспечить их соответствие новейшим международным стандартам, в частности, стандартам безопасности МАГАТЭ.</w:t>
      </w:r>
      <w:r w:rsidRPr="00C72BA4">
        <w:rPr>
          <w:rFonts w:ascii="Calibri" w:eastAsia="Google Sans Text" w:hAnsi="Calibri" w:cs="Calibri"/>
          <w:color w:val="575B5F"/>
          <w:sz w:val="24"/>
          <w:szCs w:val="24"/>
          <w:vertAlign w:val="superscript"/>
        </w:rPr>
        <w:t>9</w:t>
      </w:r>
      <w:r w:rsidRPr="00C72BA4">
        <w:rPr>
          <w:rFonts w:ascii="Calibri" w:eastAsia="Google Sans Text" w:hAnsi="Calibri" w:cs="Calibri"/>
          <w:color w:val="1B1C1D"/>
        </w:rPr>
        <w:t xml:space="preserve"> В контексте внедрения новых технологий регуляторные рамки должны быть адаптированы, например, путем разработки новых положений о кибербезопасности.</w:t>
      </w:r>
      <w:r w:rsidRPr="00C72BA4">
        <w:rPr>
          <w:rFonts w:ascii="Calibri" w:eastAsia="Google Sans Text" w:hAnsi="Calibri" w:cs="Calibri"/>
          <w:color w:val="575B5F"/>
          <w:sz w:val="24"/>
          <w:szCs w:val="24"/>
          <w:vertAlign w:val="superscript"/>
        </w:rPr>
        <w:t>9</w:t>
      </w:r>
    </w:p>
    <w:p w14:paraId="1DFDE48E"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Функции лицензирования и правоприменения охватывают весь жизненный цикл ядерных объектов, включая их размещение, строительство, эксплуатацию и вывод из эксплуатации, а также регулирование использования радиоактивных источников в различных отраслях.</w:t>
      </w:r>
      <w:r w:rsidRPr="00C72BA4">
        <w:rPr>
          <w:rFonts w:ascii="Calibri" w:eastAsia="Google Sans Text" w:hAnsi="Calibri" w:cs="Calibri"/>
          <w:color w:val="575B5F"/>
          <w:sz w:val="24"/>
          <w:szCs w:val="24"/>
          <w:vertAlign w:val="superscript"/>
        </w:rPr>
        <w:t>9</w:t>
      </w:r>
    </w:p>
    <w:p w14:paraId="65CC0031"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Для эффективного выполнения этих задач критически важна </w:t>
      </w:r>
      <w:r w:rsidRPr="00C72BA4">
        <w:rPr>
          <w:rFonts w:ascii="Calibri" w:eastAsia="Google Sans Text" w:hAnsi="Calibri" w:cs="Calibri"/>
          <w:b/>
          <w:color w:val="1B1C1D"/>
        </w:rPr>
        <w:t>компетентность</w:t>
      </w:r>
      <w:r w:rsidRPr="00C72BA4">
        <w:rPr>
          <w:rFonts w:ascii="Calibri" w:eastAsia="Google Sans Text" w:hAnsi="Calibri" w:cs="Calibri"/>
          <w:color w:val="1B1C1D"/>
        </w:rPr>
        <w:t>. Техническая компетентность должна быть дополнена знаниями в области организационных, человеческих и правовых факторов.</w:t>
      </w:r>
      <w:r w:rsidRPr="00C72BA4">
        <w:rPr>
          <w:rFonts w:ascii="Calibri" w:eastAsia="Google Sans Text" w:hAnsi="Calibri" w:cs="Calibri"/>
          <w:color w:val="575B5F"/>
          <w:sz w:val="24"/>
          <w:szCs w:val="24"/>
          <w:vertAlign w:val="superscript"/>
        </w:rPr>
        <w:t>3</w:t>
      </w:r>
      <w:r w:rsidRPr="00C72BA4">
        <w:rPr>
          <w:rFonts w:ascii="Calibri" w:eastAsia="Google Sans Text" w:hAnsi="Calibri" w:cs="Calibri"/>
          <w:color w:val="1B1C1D"/>
        </w:rPr>
        <w:t xml:space="preserve"> Внутри организации должна культивироваться сильная культура безопасности, включая "вопрошающее отношение" (A questioning attitude), при котором постоянно подвергается сомнению статус-кво ядерной безопасности.</w:t>
      </w:r>
      <w:r w:rsidRPr="00C72BA4">
        <w:rPr>
          <w:rFonts w:ascii="Calibri" w:eastAsia="Google Sans Text" w:hAnsi="Calibri" w:cs="Calibri"/>
          <w:color w:val="575B5F"/>
          <w:sz w:val="24"/>
          <w:szCs w:val="24"/>
          <w:vertAlign w:val="superscript"/>
        </w:rPr>
        <w:t>5</w:t>
      </w:r>
      <w:r w:rsidRPr="00C72BA4">
        <w:rPr>
          <w:rFonts w:ascii="Calibri" w:eastAsia="Google Sans Text" w:hAnsi="Calibri" w:cs="Calibri"/>
          <w:color w:val="1B1C1D"/>
        </w:rPr>
        <w:t xml:space="preserve"> Кроме того, Директорат обязан разработать планы по поддержанию и развитию персонала, причем штатная численность должна быть достаточной для выполнения роли аварийного реагирования еще до прибытия ядерного топлива на площадку.</w:t>
      </w:r>
      <w:r w:rsidRPr="00C72BA4">
        <w:rPr>
          <w:rFonts w:ascii="Calibri" w:eastAsia="Google Sans Text" w:hAnsi="Calibri" w:cs="Calibri"/>
          <w:color w:val="575B5F"/>
          <w:sz w:val="24"/>
          <w:szCs w:val="24"/>
          <w:vertAlign w:val="superscript"/>
        </w:rPr>
        <w:t>1</w:t>
      </w:r>
    </w:p>
    <w:p w14:paraId="7C6B5589" w14:textId="77777777" w:rsidR="00C72BA4" w:rsidRDefault="00000000" w:rsidP="00C72BA4">
      <w:pPr>
        <w:pStyle w:val="3"/>
        <w:spacing w:before="0" w:after="120" w:line="275" w:lineRule="auto"/>
        <w:jc w:val="both"/>
        <w:rPr>
          <w:rFonts w:ascii="Calibri" w:eastAsia="Google Sans" w:hAnsi="Calibri" w:cs="Calibri"/>
          <w:color w:val="1B1C1D"/>
        </w:rPr>
      </w:pPr>
      <w:bookmarkStart w:id="10" w:name="_Toc210581573"/>
      <w:r w:rsidRPr="00C72BA4">
        <w:rPr>
          <w:rFonts w:ascii="Calibri" w:eastAsia="Google Sans" w:hAnsi="Calibri" w:cs="Calibri"/>
          <w:color w:val="1B1C1D"/>
        </w:rPr>
        <w:t>3.3. Адаптация Регуляторной Инфраструктуры к Новым Вызовам</w:t>
      </w:r>
      <w:bookmarkEnd w:id="10"/>
    </w:p>
    <w:p w14:paraId="0E1A526B" w14:textId="62D37418"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Новые страны, входящие в ядерный клуб, должны устанавливать двусторонние и многосторонние соглашения с регуляторами стран-поставщиков (Vendor State) или стран, уже имеющих аналогичный опыт (Reference Plant).</w:t>
      </w:r>
      <w:r w:rsidRPr="00C72BA4">
        <w:rPr>
          <w:rFonts w:ascii="Calibri" w:eastAsia="Google Sans Text" w:hAnsi="Calibri" w:cs="Calibri"/>
          <w:color w:val="575B5F"/>
          <w:sz w:val="24"/>
          <w:szCs w:val="24"/>
          <w:vertAlign w:val="superscript"/>
        </w:rPr>
        <w:t>17</w:t>
      </w:r>
      <w:r w:rsidRPr="00C72BA4">
        <w:rPr>
          <w:rFonts w:ascii="Calibri" w:eastAsia="Google Sans Text" w:hAnsi="Calibri" w:cs="Calibri"/>
          <w:color w:val="1B1C1D"/>
        </w:rPr>
        <w:t xml:space="preserve"> Это сотрудничество, например, участие в Многонациональной программе одобрения дизайна (MDAP), позволяет получить информацию о потенциальных технических проблемах, сокращая тем самым длительность национального процесса рассмотрения.</w:t>
      </w:r>
      <w:r w:rsidRPr="00C72BA4">
        <w:rPr>
          <w:rFonts w:ascii="Calibri" w:eastAsia="Google Sans Text" w:hAnsi="Calibri" w:cs="Calibri"/>
          <w:color w:val="575B5F"/>
          <w:sz w:val="24"/>
          <w:szCs w:val="24"/>
          <w:vertAlign w:val="superscript"/>
        </w:rPr>
        <w:t>3</w:t>
      </w:r>
      <w:r w:rsidRPr="00C72BA4">
        <w:rPr>
          <w:rFonts w:ascii="Calibri" w:eastAsia="Google Sans Text" w:hAnsi="Calibri" w:cs="Calibri"/>
          <w:color w:val="1B1C1D"/>
        </w:rPr>
        <w:t xml:space="preserve"> Тем не менее, регулятор должен постоянно помнить о принципе суверенитета: даже при использовании обширной внешней поддержки,</w:t>
      </w:r>
      <w:r w:rsidR="00C72BA4">
        <w:rPr>
          <w:rFonts w:ascii="Calibri" w:eastAsia="Google Sans Text" w:hAnsi="Calibri" w:cs="Calibri"/>
          <w:color w:val="1B1C1D"/>
          <w:lang w:val="ru-RU"/>
        </w:rPr>
        <w:t xml:space="preserve"> </w:t>
      </w:r>
      <w:r w:rsidRPr="00C72BA4">
        <w:rPr>
          <w:rFonts w:ascii="Calibri" w:eastAsia="Google Sans Text" w:hAnsi="Calibri" w:cs="Calibri"/>
          <w:b/>
          <w:color w:val="1B1C1D"/>
        </w:rPr>
        <w:t>ответственность за принятие окончательных решений остается исключительно за Директоратом</w:t>
      </w:r>
      <w:r w:rsidRPr="00C72BA4">
        <w:rPr>
          <w:rFonts w:ascii="Calibri" w:eastAsia="Google Sans Text" w:hAnsi="Calibri" w:cs="Calibri"/>
          <w:color w:val="1B1C1D"/>
        </w:rPr>
        <w:t>.</w:t>
      </w:r>
      <w:r w:rsidRPr="00C72BA4">
        <w:rPr>
          <w:rFonts w:ascii="Calibri" w:eastAsia="Google Sans Text" w:hAnsi="Calibri" w:cs="Calibri"/>
          <w:color w:val="575B5F"/>
          <w:sz w:val="24"/>
          <w:szCs w:val="24"/>
          <w:vertAlign w:val="superscript"/>
        </w:rPr>
        <w:t>17</w:t>
      </w:r>
    </w:p>
    <w:p w14:paraId="4A3FE0E4"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Установление высокого уровня доверия и прозрачности (Openness and Transparency) является необходимым условием для достижения и поддержания кредитоспособности регулятора.</w:t>
      </w:r>
      <w:r w:rsidRPr="00C72BA4">
        <w:rPr>
          <w:rFonts w:ascii="Calibri" w:eastAsia="Google Sans Text" w:hAnsi="Calibri" w:cs="Calibri"/>
          <w:color w:val="575B5F"/>
          <w:sz w:val="24"/>
          <w:szCs w:val="24"/>
          <w:vertAlign w:val="superscript"/>
        </w:rPr>
        <w:t>3</w:t>
      </w:r>
      <w:r w:rsidRPr="00C72BA4">
        <w:rPr>
          <w:rFonts w:ascii="Calibri" w:eastAsia="Google Sans Text" w:hAnsi="Calibri" w:cs="Calibri"/>
          <w:color w:val="1B1C1D"/>
        </w:rPr>
        <w:t xml:space="preserve"> Эта кредитоспособность, в свою очередь, напрямую влияет на способность страны заключать выгодные международные договоры и получать доступ к передовым технологиям, поскольку снижает риски </w:t>
      </w:r>
      <w:r w:rsidRPr="00C72BA4">
        <w:rPr>
          <w:rFonts w:ascii="Calibri" w:eastAsia="Google Sans Text" w:hAnsi="Calibri" w:cs="Calibri"/>
          <w:color w:val="1B1C1D"/>
        </w:rPr>
        <w:lastRenderedPageBreak/>
        <w:t>для иностранных партнеров.</w:t>
      </w:r>
      <w:r w:rsidRPr="00C72BA4">
        <w:rPr>
          <w:rFonts w:ascii="Calibri" w:eastAsia="Google Sans Text" w:hAnsi="Calibri" w:cs="Calibri"/>
          <w:color w:val="575B5F"/>
          <w:sz w:val="24"/>
          <w:szCs w:val="24"/>
          <w:vertAlign w:val="superscript"/>
        </w:rPr>
        <w:t>6</w:t>
      </w:r>
    </w:p>
    <w:p w14:paraId="0CDAC8F5" w14:textId="77777777" w:rsidR="00C72BA4" w:rsidRDefault="00000000" w:rsidP="00C72BA4">
      <w:pPr>
        <w:pStyle w:val="2"/>
        <w:spacing w:before="0" w:after="120" w:line="275" w:lineRule="auto"/>
        <w:jc w:val="both"/>
        <w:rPr>
          <w:rFonts w:ascii="Calibri" w:eastAsia="Google Sans" w:hAnsi="Calibri" w:cs="Calibri"/>
          <w:color w:val="1B1C1D"/>
        </w:rPr>
      </w:pPr>
      <w:bookmarkStart w:id="11" w:name="_Toc210581574"/>
      <w:r w:rsidRPr="00C72BA4">
        <w:rPr>
          <w:rFonts w:ascii="Calibri" w:eastAsia="Google Sans" w:hAnsi="Calibri" w:cs="Calibri"/>
          <w:color w:val="1B1C1D"/>
        </w:rPr>
        <w:t>IV. Международный Опыт Создания Аналогичных Организаций (Бенчмаркинг)</w:t>
      </w:r>
      <w:bookmarkEnd w:id="11"/>
    </w:p>
    <w:p w14:paraId="276EA829"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Опыт других стран, начинающих ядерные программы, демонстрирует различные модели институционального строительства, но все они придерживаются принципа разделения функций.</w:t>
      </w:r>
    </w:p>
    <w:p w14:paraId="3DDC0373" w14:textId="77777777" w:rsidR="00C72BA4" w:rsidRDefault="00000000" w:rsidP="00C72BA4">
      <w:pPr>
        <w:pStyle w:val="3"/>
        <w:spacing w:before="0" w:after="120" w:line="275" w:lineRule="auto"/>
        <w:jc w:val="both"/>
        <w:rPr>
          <w:rFonts w:ascii="Calibri" w:eastAsia="Google Sans" w:hAnsi="Calibri" w:cs="Calibri"/>
          <w:color w:val="1B1C1D"/>
        </w:rPr>
      </w:pPr>
      <w:bookmarkStart w:id="12" w:name="_Toc210581575"/>
      <w:r w:rsidRPr="00C72BA4">
        <w:rPr>
          <w:rFonts w:ascii="Calibri" w:eastAsia="Google Sans" w:hAnsi="Calibri" w:cs="Calibri"/>
          <w:color w:val="1B1C1D"/>
        </w:rPr>
        <w:t>4.1. Модель Объединенных Арабских Эмиратов (ОАЭ): Эталон для Новичков</w:t>
      </w:r>
      <w:bookmarkEnd w:id="12"/>
    </w:p>
    <w:p w14:paraId="298FD649"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Программа ОАЭ часто приводится в качестве успешного образца для стран-новичков. В ОАЭ операторская функция (ENEC) строго отделена от регуляторной функции (Federal Authority for Nuclear Regulation - FANR).</w:t>
      </w:r>
      <w:r w:rsidRPr="00C72BA4">
        <w:rPr>
          <w:rFonts w:ascii="Calibri" w:eastAsia="Google Sans Text" w:hAnsi="Calibri" w:cs="Calibri"/>
          <w:color w:val="575B5F"/>
          <w:sz w:val="24"/>
          <w:szCs w:val="24"/>
          <w:vertAlign w:val="superscript"/>
        </w:rPr>
        <w:t>6</w:t>
      </w:r>
      <w:r w:rsidRPr="00C72BA4">
        <w:rPr>
          <w:rFonts w:ascii="Calibri" w:eastAsia="Google Sans Text" w:hAnsi="Calibri" w:cs="Calibri"/>
          <w:color w:val="1B1C1D"/>
        </w:rPr>
        <w:t xml:space="preserve"> Ключевой особенностью является предоставление FANR полного мандата и беспрецедентной независимости, а также принятие ОАЭ строгих юридических обязательств по нераспространению (Non-proliferation commitment).</w:t>
      </w:r>
      <w:r w:rsidRPr="00C72BA4">
        <w:rPr>
          <w:rFonts w:ascii="Calibri" w:eastAsia="Google Sans Text" w:hAnsi="Calibri" w:cs="Calibri"/>
          <w:color w:val="575B5F"/>
          <w:sz w:val="24"/>
          <w:szCs w:val="24"/>
          <w:vertAlign w:val="superscript"/>
        </w:rPr>
        <w:t>6</w:t>
      </w:r>
      <w:r w:rsidRPr="00C72BA4">
        <w:rPr>
          <w:rFonts w:ascii="Calibri" w:eastAsia="Google Sans Text" w:hAnsi="Calibri" w:cs="Calibri"/>
          <w:color w:val="1B1C1D"/>
        </w:rPr>
        <w:t xml:space="preserve"> Этот подход не только создал положительную обратную связь между соблюдением международных норм и развитием, но и позволил ОАЭ быстро получить доступ к критическим технологиям и завоевать международное доверие. FANR также демонстрирует активный рост национального кадрового потенциала.</w:t>
      </w:r>
      <w:r w:rsidRPr="00C72BA4">
        <w:rPr>
          <w:rFonts w:ascii="Calibri" w:eastAsia="Google Sans Text" w:hAnsi="Calibri" w:cs="Calibri"/>
          <w:color w:val="575B5F"/>
          <w:sz w:val="24"/>
          <w:szCs w:val="24"/>
          <w:vertAlign w:val="superscript"/>
        </w:rPr>
        <w:t>18</w:t>
      </w:r>
    </w:p>
    <w:p w14:paraId="77BC222F" w14:textId="77777777" w:rsidR="00C72BA4" w:rsidRDefault="00000000" w:rsidP="00C72BA4">
      <w:pPr>
        <w:pStyle w:val="3"/>
        <w:spacing w:before="0" w:after="120" w:line="275" w:lineRule="auto"/>
        <w:jc w:val="both"/>
        <w:rPr>
          <w:rFonts w:ascii="Calibri" w:eastAsia="Google Sans" w:hAnsi="Calibri" w:cs="Calibri"/>
          <w:color w:val="1B1C1D"/>
        </w:rPr>
      </w:pPr>
      <w:bookmarkStart w:id="13" w:name="_Toc210581576"/>
      <w:r w:rsidRPr="00C72BA4">
        <w:rPr>
          <w:rFonts w:ascii="Calibri" w:eastAsia="Google Sans" w:hAnsi="Calibri" w:cs="Calibri"/>
          <w:color w:val="1B1C1D"/>
        </w:rPr>
        <w:t>4.2. Модель Египта: Разделение Продвижения и Надзора</w:t>
      </w:r>
      <w:bookmarkEnd w:id="13"/>
    </w:p>
    <w:p w14:paraId="322DF6D1"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В Египте, продвигающим строительство АЭС Эль-Дабаа </w:t>
      </w:r>
      <w:r w:rsidRPr="00C72BA4">
        <w:rPr>
          <w:rFonts w:ascii="Calibri" w:eastAsia="Google Sans Text" w:hAnsi="Calibri" w:cs="Calibri"/>
          <w:color w:val="575B5F"/>
          <w:sz w:val="24"/>
          <w:szCs w:val="24"/>
          <w:vertAlign w:val="superscript"/>
        </w:rPr>
        <w:t>19</w:t>
      </w:r>
      <w:r w:rsidRPr="00C72BA4">
        <w:rPr>
          <w:rFonts w:ascii="Calibri" w:eastAsia="Google Sans Text" w:hAnsi="Calibri" w:cs="Calibri"/>
          <w:color w:val="1B1C1D"/>
        </w:rPr>
        <w:t>, институциональная структура также четко разделена. Nuclear Power Plants Authority (NPPA) выступает как орган реализации/оператор, отвечающий за управление проектами, заключение соглашений, подготовку кадров и установление технических спецификаций.</w:t>
      </w:r>
      <w:r w:rsidRPr="00C72BA4">
        <w:rPr>
          <w:rFonts w:ascii="Calibri" w:eastAsia="Google Sans Text" w:hAnsi="Calibri" w:cs="Calibri"/>
          <w:color w:val="575B5F"/>
          <w:sz w:val="24"/>
          <w:szCs w:val="24"/>
          <w:vertAlign w:val="superscript"/>
        </w:rPr>
        <w:t>20</w:t>
      </w:r>
      <w:r w:rsidRPr="00C72BA4">
        <w:rPr>
          <w:rFonts w:ascii="Calibri" w:eastAsia="Google Sans Text" w:hAnsi="Calibri" w:cs="Calibri"/>
          <w:color w:val="1B1C1D"/>
        </w:rPr>
        <w:t xml:space="preserve"> Регуляторная функция возложена на Egyptian Nuclear and Radiological Regulatory Authority (ENRRA), которая контролирует безопасность, охрану и гарантии.</w:t>
      </w:r>
      <w:r w:rsidRPr="00C72BA4">
        <w:rPr>
          <w:rFonts w:ascii="Calibri" w:eastAsia="Google Sans Text" w:hAnsi="Calibri" w:cs="Calibri"/>
          <w:color w:val="575B5F"/>
          <w:sz w:val="24"/>
          <w:szCs w:val="24"/>
          <w:vertAlign w:val="superscript"/>
        </w:rPr>
        <w:t>13</w:t>
      </w:r>
      <w:r w:rsidRPr="00C72BA4">
        <w:rPr>
          <w:rFonts w:ascii="Calibri" w:eastAsia="Google Sans Text" w:hAnsi="Calibri" w:cs="Calibri"/>
          <w:color w:val="1B1C1D"/>
        </w:rPr>
        <w:t xml:space="preserve"> Финансирование проекта опирается на сильную поддержку со стороны правительства </w:t>
      </w:r>
      <w:r w:rsidRPr="00C72BA4">
        <w:rPr>
          <w:rFonts w:ascii="Calibri" w:eastAsia="Google Sans Text" w:hAnsi="Calibri" w:cs="Calibri"/>
          <w:color w:val="575B5F"/>
          <w:sz w:val="24"/>
          <w:szCs w:val="24"/>
          <w:vertAlign w:val="superscript"/>
        </w:rPr>
        <w:t>13</w:t>
      </w:r>
      <w:r w:rsidRPr="00C72BA4">
        <w:rPr>
          <w:rFonts w:ascii="Calibri" w:eastAsia="Google Sans Text" w:hAnsi="Calibri" w:cs="Calibri"/>
          <w:color w:val="1B1C1D"/>
        </w:rPr>
        <w:t>, подчеркивая, что активная роль МЭРГ/NPPA в обеспечении финансовых гарантий остается критически важной.</w:t>
      </w:r>
    </w:p>
    <w:p w14:paraId="673D9685" w14:textId="77777777" w:rsidR="00C72BA4" w:rsidRDefault="00000000" w:rsidP="00C72BA4">
      <w:pPr>
        <w:pStyle w:val="3"/>
        <w:spacing w:before="0" w:after="120" w:line="275" w:lineRule="auto"/>
        <w:jc w:val="both"/>
        <w:rPr>
          <w:rFonts w:ascii="Calibri" w:eastAsia="Google Sans" w:hAnsi="Calibri" w:cs="Calibri"/>
          <w:color w:val="1B1C1D"/>
        </w:rPr>
      </w:pPr>
      <w:bookmarkStart w:id="14" w:name="_Toc210581577"/>
      <w:r w:rsidRPr="00C72BA4">
        <w:rPr>
          <w:rFonts w:ascii="Calibri" w:eastAsia="Google Sans" w:hAnsi="Calibri" w:cs="Calibri"/>
          <w:color w:val="1B1C1D"/>
        </w:rPr>
        <w:t>4.3. Подход Великобритании: Адаптация к SMR и Инновационное Финансирование</w:t>
      </w:r>
      <w:bookmarkEnd w:id="14"/>
    </w:p>
    <w:p w14:paraId="5A93E6F7" w14:textId="28628964"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Великобритания демонстрирует адаптацию институциональной структуры к новым технологиям, сосредоточив усилия на развертывании флотов Малых Модульных Реакторов (SMR).</w:t>
      </w:r>
      <w:r w:rsidRPr="00C72BA4">
        <w:rPr>
          <w:rFonts w:ascii="Calibri" w:eastAsia="Google Sans Text" w:hAnsi="Calibri" w:cs="Calibri"/>
          <w:color w:val="575B5F"/>
          <w:sz w:val="24"/>
          <w:szCs w:val="24"/>
          <w:vertAlign w:val="superscript"/>
        </w:rPr>
        <w:t>21</w:t>
      </w:r>
      <w:r w:rsidRPr="00C72BA4">
        <w:rPr>
          <w:rFonts w:ascii="Calibri" w:eastAsia="Google Sans Text" w:hAnsi="Calibri" w:cs="Calibri"/>
          <w:color w:val="1B1C1D"/>
        </w:rPr>
        <w:t xml:space="preserve"> Это потребовало пересмотра процесса лицензирования площадок для учета альтернативных моделей развертывания, где вендор, разработчик и оператор могут быть разными юридическими лицами.</w:t>
      </w:r>
      <w:r w:rsidRPr="00C72BA4">
        <w:rPr>
          <w:rFonts w:ascii="Calibri" w:eastAsia="Google Sans Text" w:hAnsi="Calibri" w:cs="Calibri"/>
          <w:color w:val="575B5F"/>
          <w:sz w:val="24"/>
          <w:szCs w:val="24"/>
          <w:vertAlign w:val="superscript"/>
        </w:rPr>
        <w:t>21</w:t>
      </w:r>
    </w:p>
    <w:p w14:paraId="47C97B6A"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Одним из наиболее значимых институциональных изменений стало введение модели финансирования на основе Регулируемой Базы Активов (Regulated Asset Base - RAB).</w:t>
      </w:r>
      <w:r w:rsidRPr="00C72BA4">
        <w:rPr>
          <w:rFonts w:ascii="Calibri" w:eastAsia="Google Sans Text" w:hAnsi="Calibri" w:cs="Calibri"/>
          <w:color w:val="575B5F"/>
          <w:sz w:val="24"/>
          <w:szCs w:val="24"/>
          <w:vertAlign w:val="superscript"/>
        </w:rPr>
        <w:t>22</w:t>
      </w:r>
      <w:r w:rsidRPr="00C72BA4">
        <w:rPr>
          <w:rFonts w:ascii="Calibri" w:eastAsia="Google Sans Text" w:hAnsi="Calibri" w:cs="Calibri"/>
          <w:color w:val="1B1C1D"/>
        </w:rPr>
        <w:t xml:space="preserve"> Хотя модель RAB снижает стоимость капитала за счет переноса части рисков на потребителя в процессе строительства </w:t>
      </w:r>
      <w:r w:rsidRPr="00C72BA4">
        <w:rPr>
          <w:rFonts w:ascii="Calibri" w:eastAsia="Google Sans Text" w:hAnsi="Calibri" w:cs="Calibri"/>
          <w:color w:val="575B5F"/>
          <w:sz w:val="24"/>
          <w:szCs w:val="24"/>
          <w:vertAlign w:val="superscript"/>
        </w:rPr>
        <w:t>23</w:t>
      </w:r>
      <w:r w:rsidRPr="00C72BA4">
        <w:rPr>
          <w:rFonts w:ascii="Calibri" w:eastAsia="Google Sans Text" w:hAnsi="Calibri" w:cs="Calibri"/>
          <w:color w:val="1B1C1D"/>
        </w:rPr>
        <w:t>, она требует дополнительного экономического регуляторного надзора. При RAB-</w:t>
      </w:r>
      <w:r w:rsidRPr="00C72BA4">
        <w:rPr>
          <w:rFonts w:ascii="Calibri" w:eastAsia="Google Sans Text" w:hAnsi="Calibri" w:cs="Calibri"/>
          <w:color w:val="1B1C1D"/>
        </w:rPr>
        <w:lastRenderedPageBreak/>
        <w:t>модели в Великобритании, помимо регулятора безопасности (ONR), появляется регулятор ядерных RAB-соглашений (Ofgem).</w:t>
      </w:r>
      <w:r w:rsidRPr="00C72BA4">
        <w:rPr>
          <w:rFonts w:ascii="Calibri" w:eastAsia="Google Sans Text" w:hAnsi="Calibri" w:cs="Calibri"/>
          <w:color w:val="575B5F"/>
          <w:sz w:val="24"/>
          <w:szCs w:val="24"/>
          <w:vertAlign w:val="superscript"/>
        </w:rPr>
        <w:t>22</w:t>
      </w:r>
      <w:r w:rsidRPr="00C72BA4">
        <w:rPr>
          <w:rFonts w:ascii="Calibri" w:eastAsia="Google Sans Text" w:hAnsi="Calibri" w:cs="Calibri"/>
          <w:color w:val="1B1C1D"/>
        </w:rPr>
        <w:t xml:space="preserve"> Это расширяет регуляторную сферу, поскольку экономический надзор становится необходим для защиты потребителя от потенциально чрезмерных капитальных затрат (excessive capital expenditures), которые могут быть стратегически завышены для раздувания базы, на которую рассчитывается возврат.</w:t>
      </w:r>
      <w:r w:rsidRPr="00C72BA4">
        <w:rPr>
          <w:rFonts w:ascii="Calibri" w:eastAsia="Google Sans Text" w:hAnsi="Calibri" w:cs="Calibri"/>
          <w:color w:val="575B5F"/>
          <w:sz w:val="24"/>
          <w:szCs w:val="24"/>
          <w:vertAlign w:val="superscript"/>
        </w:rPr>
        <w:t>24</w:t>
      </w:r>
      <w:r w:rsidRPr="00C72BA4">
        <w:rPr>
          <w:rFonts w:ascii="Calibri" w:eastAsia="Google Sans Text" w:hAnsi="Calibri" w:cs="Calibri"/>
          <w:color w:val="1B1C1D"/>
        </w:rPr>
        <w:t xml:space="preserve"> Таким образом, внедрение новых финансовых механизмов требует интеграции не только регуляторов безопасности, но и экономических регуляторов.</w:t>
      </w:r>
    </w:p>
    <w:p w14:paraId="27644039" w14:textId="77777777" w:rsidR="00C72BA4" w:rsidRDefault="00000000" w:rsidP="00C72BA4">
      <w:pPr>
        <w:pStyle w:val="2"/>
        <w:spacing w:before="0" w:after="120" w:line="275" w:lineRule="auto"/>
        <w:jc w:val="both"/>
        <w:rPr>
          <w:rFonts w:ascii="Calibri" w:eastAsia="Google Sans" w:hAnsi="Calibri" w:cs="Calibri"/>
          <w:color w:val="1B1C1D"/>
        </w:rPr>
      </w:pPr>
      <w:bookmarkStart w:id="15" w:name="_Toc210581578"/>
      <w:r w:rsidRPr="00C72BA4">
        <w:rPr>
          <w:rFonts w:ascii="Calibri" w:eastAsia="Google Sans" w:hAnsi="Calibri" w:cs="Calibri"/>
          <w:color w:val="1B1C1D"/>
        </w:rPr>
        <w:t>V. Особенности Функционала в Контексте Новых Технологий (SMR)</w:t>
      </w:r>
      <w:bookmarkEnd w:id="15"/>
    </w:p>
    <w:p w14:paraId="613A95DE" w14:textId="78C7E334" w:rsidR="00C72BA4" w:rsidRDefault="00000000" w:rsidP="00C72BA4">
      <w:pPr>
        <w:pStyle w:val="3"/>
        <w:spacing w:before="0" w:after="120" w:line="275" w:lineRule="auto"/>
        <w:jc w:val="both"/>
        <w:rPr>
          <w:rFonts w:ascii="Calibri" w:eastAsia="Google Sans" w:hAnsi="Calibri" w:cs="Calibri"/>
          <w:color w:val="1B1C1D"/>
        </w:rPr>
      </w:pPr>
      <w:bookmarkStart w:id="16" w:name="_Toc210581579"/>
      <w:r w:rsidRPr="00C72BA4">
        <w:rPr>
          <w:rFonts w:ascii="Calibri" w:eastAsia="Google Sans" w:hAnsi="Calibri" w:cs="Calibri"/>
          <w:color w:val="1B1C1D"/>
        </w:rPr>
        <w:t>5.1. Регуляторные Барьеры для Развертывания SMR</w:t>
      </w:r>
      <w:bookmarkEnd w:id="16"/>
    </w:p>
    <w:p w14:paraId="5D77A42E" w14:textId="08CDFB9E"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Внедрение SMR, которые обещают улучшенные функции безопасности и гибкость </w:t>
      </w:r>
      <w:r w:rsidRPr="00C72BA4">
        <w:rPr>
          <w:rFonts w:ascii="Calibri" w:eastAsia="Google Sans Text" w:hAnsi="Calibri" w:cs="Calibri"/>
          <w:color w:val="575B5F"/>
          <w:sz w:val="24"/>
          <w:szCs w:val="24"/>
          <w:vertAlign w:val="superscript"/>
        </w:rPr>
        <w:t>26</w:t>
      </w:r>
      <w:r w:rsidRPr="00C72BA4">
        <w:rPr>
          <w:rFonts w:ascii="Calibri" w:eastAsia="Google Sans Text" w:hAnsi="Calibri" w:cs="Calibri"/>
          <w:color w:val="1B1C1D"/>
        </w:rPr>
        <w:t>, сталкивается с рядом регуляторных вызовов, которые требуют активной адаптации Директората.</w:t>
      </w:r>
    </w:p>
    <w:p w14:paraId="1728FB01"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Существующая правовая база, часто созданная для крупномасштабных легководных реакторов (например, Gen III+ SMR </w:t>
      </w:r>
      <w:r w:rsidRPr="00C72BA4">
        <w:rPr>
          <w:rFonts w:ascii="Calibri" w:eastAsia="Google Sans Text" w:hAnsi="Calibri" w:cs="Calibri"/>
          <w:color w:val="575B5F"/>
          <w:sz w:val="24"/>
          <w:szCs w:val="24"/>
          <w:vertAlign w:val="superscript"/>
        </w:rPr>
        <w:t>27</w:t>
      </w:r>
      <w:r w:rsidRPr="00C72BA4">
        <w:rPr>
          <w:rFonts w:ascii="Calibri" w:eastAsia="Google Sans Text" w:hAnsi="Calibri" w:cs="Calibri"/>
          <w:color w:val="1B1C1D"/>
        </w:rPr>
        <w:t xml:space="preserve">), может стать барьером для инновационных технологий, таких как реакторы IV поколения (например, свинцовые EAGLES-300 </w:t>
      </w:r>
      <w:r w:rsidRPr="00C72BA4">
        <w:rPr>
          <w:rFonts w:ascii="Calibri" w:eastAsia="Google Sans Text" w:hAnsi="Calibri" w:cs="Calibri"/>
          <w:color w:val="575B5F"/>
          <w:sz w:val="24"/>
          <w:szCs w:val="24"/>
          <w:vertAlign w:val="superscript"/>
        </w:rPr>
        <w:t>29</w:t>
      </w:r>
      <w:r w:rsidRPr="00C72BA4">
        <w:rPr>
          <w:rFonts w:ascii="Calibri" w:eastAsia="Google Sans Text" w:hAnsi="Calibri" w:cs="Calibri"/>
          <w:color w:val="1B1C1D"/>
        </w:rPr>
        <w:t>).</w:t>
      </w:r>
      <w:r w:rsidRPr="00C72BA4">
        <w:rPr>
          <w:rFonts w:ascii="Calibri" w:eastAsia="Google Sans Text" w:hAnsi="Calibri" w:cs="Calibri"/>
          <w:color w:val="575B5F"/>
          <w:sz w:val="24"/>
          <w:szCs w:val="24"/>
          <w:vertAlign w:val="superscript"/>
        </w:rPr>
        <w:t>16</w:t>
      </w:r>
      <w:r w:rsidRPr="00C72BA4">
        <w:rPr>
          <w:rFonts w:ascii="Calibri" w:eastAsia="Google Sans Text" w:hAnsi="Calibri" w:cs="Calibri"/>
          <w:color w:val="1B1C1D"/>
        </w:rPr>
        <w:t xml:space="preserve"> Проблемы включают новизну самой технологии (пассивные системы безопасности), регуляторную фрагментацию между странами и отсутствие стандартов для заводской сертификации модульных компонентов.</w:t>
      </w:r>
      <w:r w:rsidRPr="00C72BA4">
        <w:rPr>
          <w:rFonts w:ascii="Calibri" w:eastAsia="Google Sans Text" w:hAnsi="Calibri" w:cs="Calibri"/>
          <w:color w:val="575B5F"/>
          <w:sz w:val="24"/>
          <w:szCs w:val="24"/>
          <w:vertAlign w:val="superscript"/>
        </w:rPr>
        <w:t>16</w:t>
      </w:r>
      <w:r w:rsidRPr="00C72BA4">
        <w:rPr>
          <w:rFonts w:ascii="Calibri" w:eastAsia="Google Sans Text" w:hAnsi="Calibri" w:cs="Calibri"/>
          <w:color w:val="1B1C1D"/>
        </w:rPr>
        <w:t xml:space="preserve"> Эти регуляторные барьеры, включая длительные сроки лицензирования и высокие сборы </w:t>
      </w:r>
      <w:r w:rsidRPr="00C72BA4">
        <w:rPr>
          <w:rFonts w:ascii="Calibri" w:eastAsia="Google Sans Text" w:hAnsi="Calibri" w:cs="Calibri"/>
          <w:color w:val="575B5F"/>
          <w:sz w:val="24"/>
          <w:szCs w:val="24"/>
          <w:vertAlign w:val="superscript"/>
        </w:rPr>
        <w:t>16</w:t>
      </w:r>
      <w:r w:rsidRPr="00C72BA4">
        <w:rPr>
          <w:rFonts w:ascii="Calibri" w:eastAsia="Google Sans Text" w:hAnsi="Calibri" w:cs="Calibri"/>
          <w:color w:val="1B1C1D"/>
        </w:rPr>
        <w:t>, напрямую влияют на экономику проекта.</w:t>
      </w:r>
    </w:p>
    <w:p w14:paraId="0F4A3219" w14:textId="77777777" w:rsidR="00C72BA4" w:rsidRDefault="00000000" w:rsidP="00C72BA4">
      <w:pPr>
        <w:pStyle w:val="3"/>
        <w:spacing w:before="0" w:after="120" w:line="275" w:lineRule="auto"/>
        <w:jc w:val="both"/>
        <w:rPr>
          <w:rFonts w:ascii="Calibri" w:eastAsia="Google Sans" w:hAnsi="Calibri" w:cs="Calibri"/>
          <w:color w:val="1B1C1D"/>
        </w:rPr>
      </w:pPr>
      <w:bookmarkStart w:id="17" w:name="_Toc210581580"/>
      <w:r w:rsidRPr="00C72BA4">
        <w:rPr>
          <w:rFonts w:ascii="Calibri" w:eastAsia="Google Sans" w:hAnsi="Calibri" w:cs="Calibri"/>
          <w:color w:val="1B1C1D"/>
        </w:rPr>
        <w:t>5.2. Роль Директората в Гармонизации и Предлицензировании</w:t>
      </w:r>
      <w:bookmarkEnd w:id="17"/>
    </w:p>
    <w:p w14:paraId="706884BA" w14:textId="1A321B33"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Для обеспечения успешного пути развертывания флота SMR </w:t>
      </w:r>
      <w:r w:rsidRPr="00C72BA4">
        <w:rPr>
          <w:rFonts w:ascii="Calibri" w:eastAsia="Google Sans Text" w:hAnsi="Calibri" w:cs="Calibri"/>
          <w:color w:val="575B5F"/>
          <w:sz w:val="24"/>
          <w:szCs w:val="24"/>
          <w:vertAlign w:val="superscript"/>
        </w:rPr>
        <w:t>28</w:t>
      </w:r>
      <w:r w:rsidRPr="00C72BA4">
        <w:rPr>
          <w:rFonts w:ascii="Calibri" w:eastAsia="Google Sans Text" w:hAnsi="Calibri" w:cs="Calibri"/>
          <w:color w:val="1B1C1D"/>
        </w:rPr>
        <w:t>, Директорат не может позволить себе быть реактивным. Регулятор должен перейти к проактивной модели, сотрудничая с разработчиками и международными партнерами на ранней стадии дизайна.</w:t>
      </w:r>
    </w:p>
    <w:p w14:paraId="754D2179" w14:textId="77777777" w:rsid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Директорат должен активно участвовать в международных инициативах по предварительному лицензированию. Примером такого подхода является проект EAGLES-300 в Европе, для которого регуляторы Бельгии, Италии и Румынии запустили процесс предлицензирования.</w:t>
      </w:r>
      <w:r w:rsidRPr="00C72BA4">
        <w:rPr>
          <w:rFonts w:ascii="Calibri" w:eastAsia="Google Sans Text" w:hAnsi="Calibri" w:cs="Calibri"/>
          <w:color w:val="575B5F"/>
          <w:sz w:val="24"/>
          <w:szCs w:val="24"/>
          <w:vertAlign w:val="superscript"/>
        </w:rPr>
        <w:t>29</w:t>
      </w:r>
      <w:r w:rsidRPr="00C72BA4">
        <w:rPr>
          <w:rFonts w:ascii="Calibri" w:eastAsia="Google Sans Text" w:hAnsi="Calibri" w:cs="Calibri"/>
          <w:color w:val="1B1C1D"/>
        </w:rPr>
        <w:t xml:space="preserve"> МАГАТЭ поддерживает подобные инициативы в качестве пилотных проектов в рамках своей Инициативы по ядерной гармонизации и стандартизации (NHSI).</w:t>
      </w:r>
      <w:r w:rsidRPr="00C72BA4">
        <w:rPr>
          <w:rFonts w:ascii="Calibri" w:eastAsia="Google Sans Text" w:hAnsi="Calibri" w:cs="Calibri"/>
          <w:color w:val="575B5F"/>
          <w:sz w:val="24"/>
          <w:szCs w:val="24"/>
          <w:vertAlign w:val="superscript"/>
        </w:rPr>
        <w:t>30</w:t>
      </w:r>
      <w:r w:rsidRPr="00C72BA4">
        <w:rPr>
          <w:rFonts w:ascii="Calibri" w:eastAsia="Google Sans Text" w:hAnsi="Calibri" w:cs="Calibri"/>
          <w:color w:val="1B1C1D"/>
        </w:rPr>
        <w:t xml:space="preserve"> Участие в таких многосторонних программах (например, MDAP) позволяет регуляторам получить информацию о технических проблемах на этапе дизайна, сокращая национальный процесс рассмотрения.</w:t>
      </w:r>
      <w:r w:rsidRPr="00C72BA4">
        <w:rPr>
          <w:rFonts w:ascii="Calibri" w:eastAsia="Google Sans Text" w:hAnsi="Calibri" w:cs="Calibri"/>
          <w:color w:val="575B5F"/>
          <w:sz w:val="24"/>
          <w:szCs w:val="24"/>
          <w:vertAlign w:val="superscript"/>
        </w:rPr>
        <w:t>3</w:t>
      </w:r>
      <w:r w:rsidRPr="00C72BA4">
        <w:rPr>
          <w:rFonts w:ascii="Calibri" w:eastAsia="Google Sans Text" w:hAnsi="Calibri" w:cs="Calibri"/>
          <w:color w:val="1B1C1D"/>
        </w:rPr>
        <w:t xml:space="preserve"> Это сотрудничество является стратегическим императивом, поскольку способность Директората оптимизировать и ускорить процесс лицензирования напрямую влияет на способность МЭРГ реализовать программу SMR.</w:t>
      </w:r>
      <w:r w:rsidRPr="00C72BA4">
        <w:rPr>
          <w:rFonts w:ascii="Calibri" w:eastAsia="Google Sans Text" w:hAnsi="Calibri" w:cs="Calibri"/>
          <w:color w:val="575B5F"/>
          <w:sz w:val="24"/>
          <w:szCs w:val="24"/>
          <w:vertAlign w:val="superscript"/>
        </w:rPr>
        <w:t>21</w:t>
      </w:r>
    </w:p>
    <w:p w14:paraId="24EAB882" w14:textId="77777777" w:rsidR="00C72BA4" w:rsidRDefault="00C72BA4">
      <w:pPr>
        <w:rPr>
          <w:rFonts w:ascii="Calibri" w:eastAsia="Google Sans" w:hAnsi="Calibri" w:cs="Calibri"/>
          <w:b/>
          <w:color w:val="1B1C1D"/>
          <w:sz w:val="36"/>
          <w:szCs w:val="36"/>
        </w:rPr>
      </w:pPr>
      <w:r>
        <w:rPr>
          <w:rFonts w:ascii="Calibri" w:eastAsia="Google Sans" w:hAnsi="Calibri" w:cs="Calibri"/>
          <w:color w:val="1B1C1D"/>
        </w:rPr>
        <w:br w:type="page"/>
      </w:r>
    </w:p>
    <w:p w14:paraId="4B5FD273" w14:textId="6519AC0F" w:rsidR="00C72BA4" w:rsidRDefault="00000000" w:rsidP="00C72BA4">
      <w:pPr>
        <w:pStyle w:val="2"/>
        <w:spacing w:before="0" w:after="120" w:line="275" w:lineRule="auto"/>
        <w:jc w:val="both"/>
        <w:rPr>
          <w:rFonts w:ascii="Calibri" w:eastAsia="Google Sans" w:hAnsi="Calibri" w:cs="Calibri"/>
          <w:color w:val="1B1C1D"/>
        </w:rPr>
      </w:pPr>
      <w:bookmarkStart w:id="18" w:name="_Toc210581581"/>
      <w:r w:rsidRPr="00C72BA4">
        <w:rPr>
          <w:rFonts w:ascii="Calibri" w:eastAsia="Google Sans" w:hAnsi="Calibri" w:cs="Calibri"/>
          <w:color w:val="1B1C1D"/>
        </w:rPr>
        <w:lastRenderedPageBreak/>
        <w:t>VI. Синтез Институциональных Взаимодействий и Стратегические Выводы</w:t>
      </w:r>
      <w:bookmarkEnd w:id="18"/>
    </w:p>
    <w:p w14:paraId="2145BE34" w14:textId="4C0087A0" w:rsidR="00C72BA4" w:rsidRDefault="00000000" w:rsidP="00C72BA4">
      <w:pPr>
        <w:pStyle w:val="3"/>
        <w:spacing w:before="0" w:after="120" w:line="275" w:lineRule="auto"/>
        <w:jc w:val="both"/>
        <w:rPr>
          <w:rFonts w:ascii="Calibri" w:eastAsia="Google Sans" w:hAnsi="Calibri" w:cs="Calibri"/>
          <w:color w:val="1B1C1D"/>
        </w:rPr>
      </w:pPr>
      <w:bookmarkStart w:id="19" w:name="_Toc210581582"/>
      <w:r w:rsidRPr="00C72BA4">
        <w:rPr>
          <w:rFonts w:ascii="Calibri" w:eastAsia="Google Sans" w:hAnsi="Calibri" w:cs="Calibri"/>
          <w:color w:val="1B1C1D"/>
        </w:rPr>
        <w:t>6.1. Резюме Разграничения Полномочий и Взаимодействия</w:t>
      </w:r>
      <w:bookmarkEnd w:id="19"/>
    </w:p>
    <w:p w14:paraId="7C55FE9D" w14:textId="18737B16"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Успех национальной ядерной программы зависит от эффективности МЭРГ в координации и планировании, а также от бескомпромиссной независимости Директората. Ключевой принцип — это строгое, но эффективное разграничение полномочий, создающее необходимое институциональное напряжение между экономической эффективностью и безопасностью.</w:t>
      </w:r>
    </w:p>
    <w:p w14:paraId="0A15BFFB"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Таблица 1, представленная ниже, суммирует разграничение функционала между двумя институциональными органами.</w:t>
      </w:r>
    </w:p>
    <w:p w14:paraId="7F72A5B8"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Таблица 1: Сравнительный Анализ Функционала: МЭРГ (NEPIO) vs. Директорат (Регулятор)</w:t>
      </w:r>
    </w:p>
    <w:p w14:paraId="6C4C841E" w14:textId="77777777" w:rsidR="00B2502F" w:rsidRPr="00C72BA4" w:rsidRDefault="00B2502F" w:rsidP="00C72BA4">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B2502F" w:rsidRPr="00C72BA4" w14:paraId="6905973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7571E7"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Институциональная Роль</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9F8044"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МЭРГ (Планирование, Продвижение, Координация)</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085FE9"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Директорат (Безопасность, Надзор, Правоприменение)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5431C0"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Фундаментальный Принцип</w:t>
            </w:r>
          </w:p>
        </w:tc>
      </w:tr>
      <w:tr w:rsidR="00B2502F" w:rsidRPr="00C72BA4" w14:paraId="240D169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8744F2"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Мандат</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6CA638"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Обеспечение политической приверженности и ресурсов для реализации программы.</w:t>
            </w:r>
            <w:r w:rsidRPr="00C72BA4">
              <w:rPr>
                <w:rFonts w:ascii="Calibri" w:eastAsia="Google Sans Text" w:hAnsi="Calibri" w:cs="Calibri"/>
                <w:color w:val="575B5F"/>
                <w:sz w:val="24"/>
                <w:szCs w:val="24"/>
                <w:vertAlign w:val="superscript"/>
              </w:rPr>
              <w:t>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3195ED"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Защита, безопасность и нераспространение.</w:t>
            </w:r>
            <w:r w:rsidRPr="00C72BA4">
              <w:rPr>
                <w:rFonts w:ascii="Calibri" w:eastAsia="Google Sans Text" w:hAnsi="Calibri" w:cs="Calibri"/>
                <w:color w:val="575B5F"/>
                <w:sz w:val="24"/>
                <w:szCs w:val="24"/>
                <w:vertAlign w:val="superscript"/>
              </w:rPr>
              <w:t>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5167EF"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Разделение интересов.</w:t>
            </w:r>
          </w:p>
        </w:tc>
      </w:tr>
      <w:tr w:rsidR="00B2502F" w:rsidRPr="00C72BA4" w14:paraId="21B8FE44"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276AE1"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Отношение к Финансам</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3C0809"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Разработка и обеспечение финансовых гарантий (включая RAB-модели и отходы).</w:t>
            </w:r>
            <w:r w:rsidRPr="00C72BA4">
              <w:rPr>
                <w:rFonts w:ascii="Calibri" w:eastAsia="Google Sans Text" w:hAnsi="Calibri" w:cs="Calibri"/>
                <w:color w:val="575B5F"/>
                <w:sz w:val="24"/>
                <w:szCs w:val="24"/>
                <w:vertAlign w:val="superscript"/>
              </w:rPr>
              <w:t>12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0D3A5B"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Бюджетирование для обеспечения собственной компетенции и надзор за экономическим регулированием (при RAB).</w:t>
            </w:r>
            <w:r w:rsidRPr="00C72BA4">
              <w:rPr>
                <w:rFonts w:ascii="Calibri" w:eastAsia="Google Sans Text" w:hAnsi="Calibri" w:cs="Calibri"/>
                <w:color w:val="575B5F"/>
                <w:sz w:val="24"/>
                <w:szCs w:val="24"/>
                <w:vertAlign w:val="superscript"/>
              </w:rPr>
              <w:t>12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847CEB"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Финансовая независимость.</w:t>
            </w:r>
          </w:p>
        </w:tc>
      </w:tr>
      <w:tr w:rsidR="00B2502F" w:rsidRPr="00C72BA4" w14:paraId="4AEC978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FF47B3"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Правовая Система</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6E856D"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Инициирует адаптацию законов (инвестиции, </w:t>
            </w:r>
            <w:r w:rsidRPr="00C72BA4">
              <w:rPr>
                <w:rFonts w:ascii="Calibri" w:eastAsia="Google Sans Text" w:hAnsi="Calibri" w:cs="Calibri"/>
                <w:color w:val="1B1C1D"/>
              </w:rPr>
              <w:lastRenderedPageBreak/>
              <w:t>собственность, ответственность).</w:t>
            </w:r>
            <w:r w:rsidRPr="00C72BA4">
              <w:rPr>
                <w:rFonts w:ascii="Calibri" w:eastAsia="Google Sans Text" w:hAnsi="Calibri" w:cs="Calibri"/>
                <w:color w:val="575B5F"/>
                <w:sz w:val="24"/>
                <w:szCs w:val="24"/>
                <w:vertAlign w:val="superscript"/>
              </w:rPr>
              <w:t>12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0199E9"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lastRenderedPageBreak/>
              <w:t xml:space="preserve">Создает, применяет и обновляет регуляторные </w:t>
            </w:r>
            <w:r w:rsidRPr="00C72BA4">
              <w:rPr>
                <w:rFonts w:ascii="Calibri" w:eastAsia="Google Sans Text" w:hAnsi="Calibri" w:cs="Calibri"/>
                <w:color w:val="1B1C1D"/>
              </w:rPr>
              <w:lastRenderedPageBreak/>
              <w:t>руководства и требования (например, по кибербезопасности).</w:t>
            </w:r>
            <w:r w:rsidRPr="00C72BA4">
              <w:rPr>
                <w:rFonts w:ascii="Calibri" w:eastAsia="Google Sans Text" w:hAnsi="Calibri" w:cs="Calibri"/>
                <w:color w:val="575B5F"/>
                <w:sz w:val="24"/>
                <w:szCs w:val="24"/>
                <w:vertAlign w:val="superscript"/>
              </w:rPr>
              <w:t>9</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7A6E77"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lastRenderedPageBreak/>
              <w:t>Регуляторная автономия.</w:t>
            </w:r>
          </w:p>
        </w:tc>
      </w:tr>
      <w:tr w:rsidR="00B2502F" w:rsidRPr="00C72BA4" w14:paraId="1798B09B"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7D2C9E"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Международное Взаимодействие</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2593CB"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Привлечение вендоров и международных финансовых институтов.</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A3D040"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Сотрудничество с регуляторами-партнерами и МАГАТЭ для гармонизации.</w:t>
            </w:r>
            <w:r w:rsidRPr="00C72BA4">
              <w:rPr>
                <w:rFonts w:ascii="Calibri" w:eastAsia="Google Sans Text" w:hAnsi="Calibri" w:cs="Calibri"/>
                <w:color w:val="575B5F"/>
                <w:sz w:val="24"/>
                <w:szCs w:val="24"/>
                <w:vertAlign w:val="superscript"/>
              </w:rPr>
              <w:t>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790A9B"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Доверие и нераспространение.</w:t>
            </w:r>
          </w:p>
        </w:tc>
      </w:tr>
    </w:tbl>
    <w:p w14:paraId="57BBEB0C" w14:textId="77777777" w:rsidR="00B2502F" w:rsidRPr="00C72BA4" w:rsidRDefault="00B2502F" w:rsidP="00C72BA4">
      <w:pPr>
        <w:pBdr>
          <w:top w:val="nil"/>
          <w:left w:val="nil"/>
          <w:bottom w:val="nil"/>
          <w:right w:val="nil"/>
          <w:between w:val="nil"/>
        </w:pBdr>
        <w:spacing w:after="240" w:line="275" w:lineRule="auto"/>
        <w:jc w:val="both"/>
        <w:rPr>
          <w:rFonts w:ascii="Calibri" w:eastAsia="Google Sans Text" w:hAnsi="Calibri" w:cs="Calibri"/>
          <w:color w:val="1B1C1D"/>
        </w:rPr>
      </w:pPr>
    </w:p>
    <w:p w14:paraId="60A3FE21" w14:textId="77777777" w:rsidR="00C72BA4" w:rsidRDefault="00000000" w:rsidP="00C72BA4">
      <w:pPr>
        <w:pStyle w:val="3"/>
        <w:spacing w:before="0" w:after="120" w:line="275" w:lineRule="auto"/>
        <w:jc w:val="both"/>
        <w:rPr>
          <w:rFonts w:ascii="Calibri" w:eastAsia="Google Sans" w:hAnsi="Calibri" w:cs="Calibri"/>
          <w:color w:val="1B1C1D"/>
        </w:rPr>
      </w:pPr>
      <w:bookmarkStart w:id="20" w:name="_Toc210581583"/>
      <w:r w:rsidRPr="00C72BA4">
        <w:rPr>
          <w:rFonts w:ascii="Calibri" w:eastAsia="Google Sans" w:hAnsi="Calibri" w:cs="Calibri"/>
          <w:color w:val="1B1C1D"/>
        </w:rPr>
        <w:t>6.2. Международные Институциональные Бенчмарки</w:t>
      </w:r>
      <w:bookmarkEnd w:id="20"/>
    </w:p>
    <w:p w14:paraId="528C0C6A" w14:textId="0B9EA81C"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Таблица 2 демонстрирует, как принцип институционального разделения реализован в практике стран, стремящихся к развитию ядерной энергетики.</w:t>
      </w:r>
    </w:p>
    <w:p w14:paraId="61C5271B"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Таблица 2: Институциональные Модели Стран-«Новичков» и Их Релевантность</w:t>
      </w:r>
    </w:p>
    <w:p w14:paraId="637A2686" w14:textId="77777777" w:rsidR="00B2502F" w:rsidRPr="00C72BA4" w:rsidRDefault="00B2502F" w:rsidP="00C72BA4">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B2502F" w:rsidRPr="00C72BA4" w14:paraId="250FA2D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24DC36"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Страна (Модель)</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20F54A"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Планирующий/Продвигающий Орган (PIO)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6EBA0C"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Регуляторный Орган (NRA)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E457F7"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C72BA4">
              <w:rPr>
                <w:rFonts w:ascii="Calibri" w:eastAsia="Google Sans Text" w:hAnsi="Calibri" w:cs="Calibri"/>
                <w:b/>
                <w:color w:val="1B1C1D"/>
              </w:rPr>
              <w:t>Ключевой Урок для МЭРГ/Директората</w:t>
            </w:r>
          </w:p>
        </w:tc>
      </w:tr>
      <w:tr w:rsidR="00B2502F" w:rsidRPr="00C72BA4" w14:paraId="16620AC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E681D8"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b/>
                <w:color w:val="1B1C1D"/>
              </w:rPr>
              <w:t>ОАЭ</w:t>
            </w:r>
            <w:r w:rsidRPr="00C72BA4">
              <w:rPr>
                <w:rFonts w:ascii="Calibri" w:eastAsia="Google Sans Text" w:hAnsi="Calibri" w:cs="Calibri"/>
                <w:color w:val="1B1C1D"/>
              </w:rPr>
              <w:t xml:space="preserve"> (Барака)</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102BB7"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ENEC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69C2B5"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FANR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5F4836"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Строгая приверженность международным нормам (Non-proliferation) как основа для доверия и успеха.</w:t>
            </w:r>
            <w:r w:rsidRPr="00C72BA4">
              <w:rPr>
                <w:rFonts w:ascii="Calibri" w:eastAsia="Google Sans Text" w:hAnsi="Calibri" w:cs="Calibri"/>
                <w:color w:val="575B5F"/>
                <w:sz w:val="24"/>
                <w:szCs w:val="24"/>
                <w:vertAlign w:val="superscript"/>
              </w:rPr>
              <w:t>6</w:t>
            </w:r>
          </w:p>
        </w:tc>
      </w:tr>
      <w:tr w:rsidR="00B2502F" w:rsidRPr="00C72BA4" w14:paraId="351A38A9"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440886"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b/>
                <w:color w:val="1B1C1D"/>
              </w:rPr>
              <w:t>Египет</w:t>
            </w:r>
            <w:r w:rsidRPr="00C72BA4">
              <w:rPr>
                <w:rFonts w:ascii="Calibri" w:eastAsia="Google Sans Text" w:hAnsi="Calibri" w:cs="Calibri"/>
                <w:color w:val="1B1C1D"/>
              </w:rPr>
              <w:t xml:space="preserve"> (Эль-Дабаа)</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07D82B"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NPPA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FCBB24"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ENRRA</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A445E5"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Четкое институциональное разделение функций оператора и надзора.</w:t>
            </w:r>
            <w:r w:rsidRPr="00C72BA4">
              <w:rPr>
                <w:rFonts w:ascii="Calibri" w:eastAsia="Google Sans Text" w:hAnsi="Calibri" w:cs="Calibri"/>
                <w:color w:val="575B5F"/>
                <w:sz w:val="24"/>
                <w:szCs w:val="24"/>
                <w:vertAlign w:val="superscript"/>
              </w:rPr>
              <w:t>13</w:t>
            </w:r>
          </w:p>
        </w:tc>
      </w:tr>
      <w:tr w:rsidR="00B2502F" w:rsidRPr="00C72BA4" w14:paraId="6634857D"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FC7666"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b/>
                <w:color w:val="1B1C1D"/>
              </w:rPr>
              <w:lastRenderedPageBreak/>
              <w:t>Великобритания</w:t>
            </w:r>
            <w:r w:rsidRPr="00C72BA4">
              <w:rPr>
                <w:rFonts w:ascii="Calibri" w:eastAsia="Google Sans Text" w:hAnsi="Calibri" w:cs="Calibri"/>
                <w:color w:val="1B1C1D"/>
              </w:rPr>
              <w:t xml:space="preserve"> (SMR)</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56FA13"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GBN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C48EA2" w14:textId="77777777" w:rsidR="00B2502F" w:rsidRPr="00C72BA4" w:rsidRDefault="00000000" w:rsidP="00C72BA4">
            <w:pPr>
              <w:pBdr>
                <w:top w:val="nil"/>
                <w:left w:val="nil"/>
                <w:bottom w:val="nil"/>
                <w:right w:val="nil"/>
                <w:between w:val="nil"/>
              </w:pBdr>
              <w:spacing w:before="120" w:after="120" w:line="275" w:lineRule="auto"/>
              <w:jc w:val="both"/>
              <w:rPr>
                <w:rFonts w:ascii="Calibri" w:eastAsia="Google Sans Text" w:hAnsi="Calibri" w:cs="Calibri"/>
                <w:color w:val="1B1C1D"/>
              </w:rPr>
            </w:pPr>
            <w:r w:rsidRPr="00C72BA4">
              <w:rPr>
                <w:rFonts w:ascii="Calibri" w:eastAsia="Google Sans Text" w:hAnsi="Calibri" w:cs="Calibri"/>
                <w:color w:val="1B1C1D"/>
              </w:rPr>
              <w:t>ONR + Ofgem (экономика)</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A0ADB4" w14:textId="77777777" w:rsidR="00B2502F" w:rsidRPr="00C72BA4" w:rsidRDefault="00000000" w:rsidP="00C72B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Адаптация регуляторных рамок для поддержки инновационных технологий (SMR) и финансовых моделей (RAB).</w:t>
            </w:r>
            <w:r w:rsidRPr="00C72BA4">
              <w:rPr>
                <w:rFonts w:ascii="Calibri" w:eastAsia="Google Sans Text" w:hAnsi="Calibri" w:cs="Calibri"/>
                <w:color w:val="575B5F"/>
                <w:sz w:val="24"/>
                <w:szCs w:val="24"/>
                <w:vertAlign w:val="superscript"/>
              </w:rPr>
              <w:t>21</w:t>
            </w:r>
          </w:p>
        </w:tc>
      </w:tr>
    </w:tbl>
    <w:p w14:paraId="07F207F8" w14:textId="77777777" w:rsidR="00B2502F" w:rsidRPr="00C72BA4" w:rsidRDefault="00B2502F"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0E5AB229" w14:textId="77777777" w:rsidR="00C72BA4" w:rsidRDefault="00000000" w:rsidP="00C72BA4">
      <w:pPr>
        <w:pStyle w:val="3"/>
        <w:spacing w:before="0" w:after="120" w:line="275" w:lineRule="auto"/>
        <w:jc w:val="both"/>
        <w:rPr>
          <w:rFonts w:ascii="Calibri" w:eastAsia="Google Sans" w:hAnsi="Calibri" w:cs="Calibri"/>
          <w:color w:val="1B1C1D"/>
        </w:rPr>
      </w:pPr>
      <w:bookmarkStart w:id="21" w:name="_Toc210581584"/>
      <w:r w:rsidRPr="00C72BA4">
        <w:rPr>
          <w:rFonts w:ascii="Calibri" w:eastAsia="Google Sans" w:hAnsi="Calibri" w:cs="Calibri"/>
          <w:color w:val="1B1C1D"/>
        </w:rPr>
        <w:t>6.3. Выводы</w:t>
      </w:r>
      <w:bookmarkEnd w:id="21"/>
    </w:p>
    <w:p w14:paraId="0CADB62C" w14:textId="0E592E8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Анализ показывает, что институциональный успех национальной ядерной программы достигается при выполнении трех стратегических условий.</w:t>
      </w:r>
    </w:p>
    <w:p w14:paraId="7F327CDD"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Во-первых, критически важна </w:t>
      </w:r>
      <w:r w:rsidRPr="00C72BA4">
        <w:rPr>
          <w:rFonts w:ascii="Calibri" w:eastAsia="Google Sans Text" w:hAnsi="Calibri" w:cs="Calibri"/>
          <w:b/>
          <w:color w:val="1B1C1D"/>
        </w:rPr>
        <w:t>независимость Директората</w:t>
      </w:r>
      <w:r w:rsidRPr="00C72BA4">
        <w:rPr>
          <w:rFonts w:ascii="Calibri" w:eastAsia="Google Sans Text" w:hAnsi="Calibri" w:cs="Calibri"/>
          <w:color w:val="1B1C1D"/>
        </w:rPr>
        <w:t xml:space="preserve">. Любая попытка смешать роли или политически вмешиваться в регуляторные функции неизбежно подорвет культуру безопасности </w:t>
      </w:r>
      <w:r w:rsidRPr="00C72BA4">
        <w:rPr>
          <w:rFonts w:ascii="Calibri" w:eastAsia="Google Sans Text" w:hAnsi="Calibri" w:cs="Calibri"/>
          <w:color w:val="575B5F"/>
          <w:sz w:val="24"/>
          <w:szCs w:val="24"/>
          <w:vertAlign w:val="superscript"/>
        </w:rPr>
        <w:t>5</w:t>
      </w:r>
      <w:r w:rsidRPr="00C72BA4">
        <w:rPr>
          <w:rFonts w:ascii="Calibri" w:eastAsia="Google Sans Text" w:hAnsi="Calibri" w:cs="Calibri"/>
          <w:color w:val="1B1C1D"/>
        </w:rPr>
        <w:t xml:space="preserve"> и приведет к потере международного доверия, что, в конечном счете, ставит под угрозу всю программу. Техническая и финансовая автономия Директората (напр., СРБАТОМ) является обязательным условием для получения доступа к передовым технологиям и международному рынку.</w:t>
      </w:r>
      <w:r w:rsidRPr="00C72BA4">
        <w:rPr>
          <w:rFonts w:ascii="Calibri" w:eastAsia="Google Sans Text" w:hAnsi="Calibri" w:cs="Calibri"/>
          <w:color w:val="575B5F"/>
          <w:sz w:val="24"/>
          <w:szCs w:val="24"/>
          <w:vertAlign w:val="superscript"/>
        </w:rPr>
        <w:t>3</w:t>
      </w:r>
    </w:p>
    <w:p w14:paraId="4EED240B"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1B1C1D"/>
        </w:rPr>
      </w:pPr>
      <w:r w:rsidRPr="00C72BA4">
        <w:rPr>
          <w:rFonts w:ascii="Calibri" w:eastAsia="Google Sans Text" w:hAnsi="Calibri" w:cs="Calibri"/>
          <w:color w:val="1B1C1D"/>
        </w:rPr>
        <w:t xml:space="preserve">Во-вторых, в условиях развития новых технологий (SMR), Директорат должен быть </w:t>
      </w:r>
      <w:r w:rsidRPr="00C72BA4">
        <w:rPr>
          <w:rFonts w:ascii="Calibri" w:eastAsia="Google Sans Text" w:hAnsi="Calibri" w:cs="Calibri"/>
          <w:b/>
          <w:color w:val="1B1C1D"/>
        </w:rPr>
        <w:t>проактивным</w:t>
      </w:r>
      <w:r w:rsidRPr="00C72BA4">
        <w:rPr>
          <w:rFonts w:ascii="Calibri" w:eastAsia="Google Sans Text" w:hAnsi="Calibri" w:cs="Calibri"/>
          <w:color w:val="1B1C1D"/>
        </w:rPr>
        <w:t>. Регуляторные органы должны активно участвовать в международных усилиях по стандартизации (IAEA NHSI) и предлицензированию.</w:t>
      </w:r>
      <w:r w:rsidRPr="00C72BA4">
        <w:rPr>
          <w:rFonts w:ascii="Calibri" w:eastAsia="Google Sans Text" w:hAnsi="Calibri" w:cs="Calibri"/>
          <w:color w:val="575B5F"/>
          <w:sz w:val="24"/>
          <w:szCs w:val="24"/>
          <w:vertAlign w:val="superscript"/>
        </w:rPr>
        <w:t>30</w:t>
      </w:r>
      <w:r w:rsidRPr="00C72BA4">
        <w:rPr>
          <w:rFonts w:ascii="Calibri" w:eastAsia="Google Sans Text" w:hAnsi="Calibri" w:cs="Calibri"/>
          <w:color w:val="1B1C1D"/>
        </w:rPr>
        <w:t xml:space="preserve"> Этот проактивный подход позволяет минимизировать регуляторные барьеры, связанные с новизной технологии и фрагментацией </w:t>
      </w:r>
      <w:r w:rsidRPr="00C72BA4">
        <w:rPr>
          <w:rFonts w:ascii="Calibri" w:eastAsia="Google Sans Text" w:hAnsi="Calibri" w:cs="Calibri"/>
          <w:color w:val="575B5F"/>
          <w:sz w:val="24"/>
          <w:szCs w:val="24"/>
          <w:vertAlign w:val="superscript"/>
        </w:rPr>
        <w:t>16</w:t>
      </w:r>
      <w:r w:rsidRPr="00C72BA4">
        <w:rPr>
          <w:rFonts w:ascii="Calibri" w:eastAsia="Google Sans Text" w:hAnsi="Calibri" w:cs="Calibri"/>
          <w:color w:val="1B1C1D"/>
        </w:rPr>
        <w:t>, что является стратегическим императивом для ускорения развертывания SMR.</w:t>
      </w:r>
    </w:p>
    <w:p w14:paraId="7A8C9A47" w14:textId="77777777" w:rsidR="00B2502F" w:rsidRPr="00C72BA4" w:rsidRDefault="00000000" w:rsidP="00C72B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C72BA4">
        <w:rPr>
          <w:rFonts w:ascii="Calibri" w:eastAsia="Google Sans Text" w:hAnsi="Calibri" w:cs="Calibri"/>
          <w:color w:val="1B1C1D"/>
        </w:rPr>
        <w:t xml:space="preserve">В-третьих, </w:t>
      </w:r>
      <w:r w:rsidRPr="00C72BA4">
        <w:rPr>
          <w:rFonts w:ascii="Calibri" w:eastAsia="Google Sans Text" w:hAnsi="Calibri" w:cs="Calibri"/>
          <w:b/>
          <w:color w:val="1B1C1D"/>
        </w:rPr>
        <w:t>МЭРГ должна обладать всеобъемлющим мандатом</w:t>
      </w:r>
      <w:r w:rsidRPr="00C72BA4">
        <w:rPr>
          <w:rFonts w:ascii="Calibri" w:eastAsia="Google Sans Text" w:hAnsi="Calibri" w:cs="Calibri"/>
          <w:color w:val="1B1C1D"/>
        </w:rPr>
        <w:t>, выходящим за рамки начального строительства. Мандат должен охватывать долгосрочное кадровое планирование, обеспечение финансовых гарантий для всего жизненного цикла (включая вывод из эксплуатации) и разработку законодательной базы, защищающей иностранные инвестиции и интеллектуальную собственность.</w:t>
      </w:r>
      <w:r w:rsidRPr="00C72BA4">
        <w:rPr>
          <w:rFonts w:ascii="Calibri" w:eastAsia="Google Sans Text" w:hAnsi="Calibri" w:cs="Calibri"/>
          <w:color w:val="575B5F"/>
          <w:sz w:val="24"/>
          <w:szCs w:val="24"/>
          <w:vertAlign w:val="superscript"/>
        </w:rPr>
        <w:t>12</w:t>
      </w:r>
    </w:p>
    <w:p w14:paraId="7F077F4A" w14:textId="77777777" w:rsidR="00B2502F" w:rsidRPr="00C72BA4" w:rsidRDefault="00000000" w:rsidP="00C72BA4">
      <w:pPr>
        <w:pBdr>
          <w:top w:val="nil"/>
          <w:left w:val="nil"/>
          <w:bottom w:val="nil"/>
          <w:right w:val="nil"/>
          <w:between w:val="nil"/>
        </w:pBdr>
        <w:spacing w:after="255" w:line="275" w:lineRule="auto"/>
        <w:jc w:val="both"/>
        <w:rPr>
          <w:rFonts w:ascii="Calibri" w:eastAsia="Google Sans Text" w:hAnsi="Calibri" w:cs="Calibri"/>
          <w:color w:val="1B1C1D"/>
        </w:rPr>
      </w:pPr>
      <w:r w:rsidRPr="00C72BA4">
        <w:rPr>
          <w:rFonts w:ascii="Calibri" w:eastAsia="Google Sans Text" w:hAnsi="Calibri" w:cs="Calibri"/>
          <w:color w:val="1B1C1D"/>
        </w:rPr>
        <w:t>Эффективное взаимодействие между МЭРГ и Директоратом, основанное на институциональной зрелости, прозрачности и строгом соблюдении международных норм, служит ключевым фактором, который преодолевает геополитические барьеры и обеспечивает долгосрочную устойчивость национальной ядерной программы.</w:t>
      </w:r>
    </w:p>
    <w:p w14:paraId="4BB7CE96" w14:textId="77777777" w:rsidR="00C72BA4" w:rsidRDefault="00C72BA4">
      <w:pPr>
        <w:rPr>
          <w:rFonts w:ascii="Calibri" w:eastAsia="Google Sans" w:hAnsi="Calibri" w:cs="Calibri"/>
          <w:b/>
          <w:sz w:val="24"/>
          <w:szCs w:val="24"/>
        </w:rPr>
      </w:pPr>
      <w:r>
        <w:rPr>
          <w:rFonts w:ascii="Calibri" w:eastAsia="Google Sans" w:hAnsi="Calibri" w:cs="Calibri"/>
        </w:rPr>
        <w:br w:type="page"/>
      </w:r>
    </w:p>
    <w:p w14:paraId="5DAB307E" w14:textId="5BB50CC5" w:rsidR="00B2502F" w:rsidRPr="00C72BA4" w:rsidRDefault="00000000" w:rsidP="00C72BA4">
      <w:pPr>
        <w:pStyle w:val="4"/>
        <w:spacing w:before="0"/>
        <w:jc w:val="both"/>
        <w:rPr>
          <w:rFonts w:ascii="Calibri" w:eastAsia="Google Sans" w:hAnsi="Calibri" w:cs="Calibri"/>
        </w:rPr>
      </w:pPr>
      <w:r w:rsidRPr="00C72BA4">
        <w:rPr>
          <w:rFonts w:ascii="Calibri" w:eastAsia="Google Sans" w:hAnsi="Calibri" w:cs="Calibri"/>
        </w:rPr>
        <w:lastRenderedPageBreak/>
        <w:t>Источники</w:t>
      </w:r>
    </w:p>
    <w:p w14:paraId="0B70404C"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IAEA Nuclear Energy Series Milestones in the Development of a National Infrastructure for Nuclear Power, дата последнего обращения: октября 1, 2025, </w:t>
      </w:r>
      <w:hyperlink r:id="rId7">
        <w:r w:rsidRPr="00C72BA4">
          <w:rPr>
            <w:rFonts w:ascii="Calibri" w:eastAsia="Google Sans" w:hAnsi="Calibri" w:cs="Calibri"/>
            <w:color w:val="0000EE"/>
            <w:sz w:val="24"/>
            <w:szCs w:val="24"/>
            <w:u w:val="single"/>
          </w:rPr>
          <w:t>https://www-pub.iaea.org/MTCD/Publications/PDF/Pub1704_web.pdf</w:t>
        </w:r>
      </w:hyperlink>
    </w:p>
    <w:p w14:paraId="6C5F5403"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Newcomer countries face common challenges in nuclear infrastructure development - International Atomic Energy Agency, дата последнего обращения: октября 1, 2025, </w:t>
      </w:r>
      <w:hyperlink r:id="rId8">
        <w:r w:rsidRPr="00C72BA4">
          <w:rPr>
            <w:rFonts w:ascii="Calibri" w:eastAsia="Google Sans" w:hAnsi="Calibri" w:cs="Calibri"/>
            <w:color w:val="0000EE"/>
            <w:sz w:val="24"/>
            <w:szCs w:val="24"/>
            <w:u w:val="single"/>
          </w:rPr>
          <w:t>https://www.iaea.org/sites/default/files/publications/magazines/bulletin/bull57-1/5712832-iaeanews.pdf</w:t>
        </w:r>
      </w:hyperlink>
    </w:p>
    <w:p w14:paraId="2026DDF8"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Effective Nuclear Regulatory Systems - IAEA Publications, дата последнего обращения: октября 1, 2025, </w:t>
      </w:r>
      <w:hyperlink r:id="rId9">
        <w:r w:rsidRPr="00C72BA4">
          <w:rPr>
            <w:rFonts w:ascii="Calibri" w:eastAsia="Google Sans" w:hAnsi="Calibri" w:cs="Calibri"/>
            <w:color w:val="0000EE"/>
            <w:sz w:val="24"/>
            <w:szCs w:val="24"/>
            <w:u w:val="single"/>
          </w:rPr>
          <w:t>https://www-pub.iaea.org/MTCD/Publications/PDF/Pub1272_web.pdf</w:t>
        </w:r>
      </w:hyperlink>
    </w:p>
    <w:p w14:paraId="0E1E35B5"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RESPONSIBILITIES AND FUNCTIONS OF A NUCLEAR ENERGY PROGRAMME IMPLEMENTING ORGANIZATION - IAEA Publications, дата последнего обращения: октября 1, 2025, </w:t>
      </w:r>
      <w:hyperlink r:id="rId10">
        <w:r w:rsidRPr="00C72BA4">
          <w:rPr>
            <w:rFonts w:ascii="Calibri" w:eastAsia="Google Sans" w:hAnsi="Calibri" w:cs="Calibri"/>
            <w:color w:val="0000EE"/>
            <w:sz w:val="24"/>
            <w:szCs w:val="24"/>
            <w:u w:val="single"/>
          </w:rPr>
          <w:t>https://www-pub.iaea.org/MTCD/Publications/PDF/P1845_web.pdf</w:t>
        </w:r>
      </w:hyperlink>
    </w:p>
    <w:p w14:paraId="37FF2697"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Principles for a Strong Nuclear Safety Culture., дата последнего обращения: октября 1, 2025, </w:t>
      </w:r>
      <w:hyperlink r:id="rId11">
        <w:r w:rsidRPr="00C72BA4">
          <w:rPr>
            <w:rFonts w:ascii="Calibri" w:eastAsia="Google Sans" w:hAnsi="Calibri" w:cs="Calibri"/>
            <w:color w:val="0000EE"/>
            <w:sz w:val="24"/>
            <w:szCs w:val="24"/>
            <w:u w:val="single"/>
          </w:rPr>
          <w:t>https://www.nrc.gov/docs/ML0534/ML053410342.pdf</w:t>
        </w:r>
      </w:hyperlink>
    </w:p>
    <w:p w14:paraId="52782D6B"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The UAE is a successful non-proliferation model for nuclear newcomers, дата последнего обращения: октября 1, 2025, </w:t>
      </w:r>
      <w:hyperlink r:id="rId12">
        <w:r w:rsidRPr="00C72BA4">
          <w:rPr>
            <w:rFonts w:ascii="Calibri" w:eastAsia="Google Sans" w:hAnsi="Calibri" w:cs="Calibri"/>
            <w:color w:val="0000EE"/>
            <w:sz w:val="24"/>
            <w:szCs w:val="24"/>
            <w:u w:val="single"/>
          </w:rPr>
          <w:t>https://energyforgrowth.org/article/the-uae-is-a-successful-non-proliferation-model-for-nuclear-newcomers/</w:t>
        </w:r>
      </w:hyperlink>
    </w:p>
    <w:p w14:paraId="67735569"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nepio - IAEA Programs at Argonne, дата последнего обращения: октября 1, 2025, </w:t>
      </w:r>
      <w:hyperlink r:id="rId13">
        <w:r w:rsidRPr="00C72BA4">
          <w:rPr>
            <w:rFonts w:ascii="Calibri" w:eastAsia="Google Sans" w:hAnsi="Calibri" w:cs="Calibri"/>
            <w:color w:val="0000EE"/>
            <w:sz w:val="24"/>
            <w:szCs w:val="24"/>
            <w:u w:val="single"/>
          </w:rPr>
          <w:t>https://international.anl.gov/training/materials/AG/NEPIO.pdf</w:t>
        </w:r>
      </w:hyperlink>
    </w:p>
    <w:p w14:paraId="4EA07A6E"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СРБАТОМ | Директорат за радијациону и нуклеарну сигурност и ..., дата последнего обращения: октября 1, 2025, </w:t>
      </w:r>
      <w:hyperlink r:id="rId14">
        <w:r w:rsidRPr="00C72BA4">
          <w:rPr>
            <w:rFonts w:ascii="Calibri" w:eastAsia="Google Sans" w:hAnsi="Calibri" w:cs="Calibri"/>
            <w:color w:val="0000EE"/>
            <w:sz w:val="24"/>
            <w:szCs w:val="24"/>
            <w:u w:val="single"/>
          </w:rPr>
          <w:t>https://www.srbatom.gov.rs/srbatomm/</w:t>
        </w:r>
      </w:hyperlink>
    </w:p>
    <w:p w14:paraId="7D85AD44"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FANR at a Glance 2024 - </w:t>
      </w:r>
      <w:r w:rsidRPr="00C72BA4">
        <w:rPr>
          <w:rFonts w:ascii="Calibri" w:eastAsia="Google Sans" w:hAnsi="Calibri" w:cs="Calibri"/>
          <w:sz w:val="24"/>
          <w:szCs w:val="24"/>
          <w:rtl/>
        </w:rPr>
        <w:t>الهيئة الاتحادية للرقابة النووية</w:t>
      </w:r>
      <w:r w:rsidRPr="00C72BA4">
        <w:rPr>
          <w:rFonts w:ascii="Calibri" w:eastAsia="Google Sans" w:hAnsi="Calibri" w:cs="Calibri"/>
          <w:sz w:val="24"/>
          <w:szCs w:val="24"/>
        </w:rPr>
        <w:t xml:space="preserve">, дата последнего обращения: октября 1, 2025, </w:t>
      </w:r>
      <w:hyperlink r:id="rId15">
        <w:r w:rsidRPr="00C72BA4">
          <w:rPr>
            <w:rFonts w:ascii="Calibri" w:eastAsia="Google Sans" w:hAnsi="Calibri" w:cs="Calibri"/>
            <w:color w:val="0000EE"/>
            <w:sz w:val="24"/>
            <w:szCs w:val="24"/>
            <w:u w:val="single"/>
          </w:rPr>
          <w:t>https://www.fanr.gov.ae/en/media-centre/news?g=593e32e6-7c2a-4802-bc6c-2d7828c49669</w:t>
        </w:r>
      </w:hyperlink>
    </w:p>
    <w:p w14:paraId="0C550BB5"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The Characteristics of an Effective Nuclear Regulator, дата последнего обращения: октября 1, 2025, </w:t>
      </w:r>
      <w:hyperlink r:id="rId16">
        <w:r w:rsidRPr="00C72BA4">
          <w:rPr>
            <w:rFonts w:ascii="Calibri" w:eastAsia="Google Sans" w:hAnsi="Calibri" w:cs="Calibri"/>
            <w:color w:val="0000EE"/>
            <w:sz w:val="24"/>
            <w:szCs w:val="24"/>
            <w:u w:val="single"/>
          </w:rPr>
          <w:t>https://www.oecd-nea.org/upload/docs/application/pdf/2019-12/7185-regulator.pdf</w:t>
        </w:r>
      </w:hyperlink>
    </w:p>
    <w:p w14:paraId="35AED7ED"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Milestones in the Development of a National Nuclear Power Infrastructure, дата последнего обращения: октября 1, 2025, </w:t>
      </w:r>
      <w:hyperlink r:id="rId17">
        <w:r w:rsidRPr="00C72BA4">
          <w:rPr>
            <w:rFonts w:ascii="Calibri" w:eastAsia="Google Sans" w:hAnsi="Calibri" w:cs="Calibri"/>
            <w:color w:val="0000EE"/>
            <w:sz w:val="24"/>
            <w:szCs w:val="24"/>
            <w:u w:val="single"/>
          </w:rPr>
          <w:t>https://www.jaif.or.jp/ja/wnu_si_intro/document/08-08-11-starz_anne.pdf</w:t>
        </w:r>
      </w:hyperlink>
    </w:p>
    <w:p w14:paraId="0F9E6948"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This publication has been superseded by NG-G-3.1 (Rev. 1), дата последнего обращения: октября 1, 2025, </w:t>
      </w:r>
      <w:hyperlink r:id="rId18">
        <w:r w:rsidRPr="00C72BA4">
          <w:rPr>
            <w:rFonts w:ascii="Calibri" w:eastAsia="Google Sans" w:hAnsi="Calibri" w:cs="Calibri"/>
            <w:color w:val="0000EE"/>
            <w:sz w:val="24"/>
            <w:szCs w:val="24"/>
            <w:u w:val="single"/>
          </w:rPr>
          <w:t>https://www-pub.iaea.org/MTCD/Publications/PDF/Pub1305_web.pdf</w:t>
        </w:r>
      </w:hyperlink>
    </w:p>
    <w:p w14:paraId="4B399BE3"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Egypt 2022 - Publications - International Atomic Energy Agency, дата последнего обращения: октября 1, 2025, </w:t>
      </w:r>
      <w:hyperlink r:id="rId19">
        <w:r w:rsidRPr="00C72BA4">
          <w:rPr>
            <w:rFonts w:ascii="Calibri" w:eastAsia="Google Sans" w:hAnsi="Calibri" w:cs="Calibri"/>
            <w:color w:val="0000EE"/>
            <w:sz w:val="24"/>
            <w:szCs w:val="24"/>
            <w:u w:val="single"/>
          </w:rPr>
          <w:t>https://www-pub.iaea.org/MTCD/publications/PDF/cnpp2022/countryprofiles/Egypt/Egypt.htm</w:t>
        </w:r>
      </w:hyperlink>
    </w:p>
    <w:p w14:paraId="7C1E3E29"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Nuclear power worldwide: Development plans in newcomer countries negligible - EconStor, дата последнего обращения: октября 1, 2025, </w:t>
      </w:r>
      <w:hyperlink r:id="rId20">
        <w:r w:rsidRPr="00C72BA4">
          <w:rPr>
            <w:rFonts w:ascii="Calibri" w:eastAsia="Google Sans" w:hAnsi="Calibri" w:cs="Calibri"/>
            <w:color w:val="0000EE"/>
            <w:sz w:val="24"/>
            <w:szCs w:val="24"/>
            <w:u w:val="single"/>
          </w:rPr>
          <w:t>https://www.econstor.eu/bitstream/10419/220008/1/1694421902.pdf</w:t>
        </w:r>
      </w:hyperlink>
    </w:p>
    <w:p w14:paraId="2F439DE9"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Models for Aspirant Civil Nuclear Energy Nations in the Middle East - Brookings Institution, дата последнего обращения: октября 1, 2025, </w:t>
      </w:r>
      <w:hyperlink r:id="rId21">
        <w:r w:rsidRPr="00C72BA4">
          <w:rPr>
            <w:rFonts w:ascii="Calibri" w:eastAsia="Google Sans" w:hAnsi="Calibri" w:cs="Calibri"/>
            <w:color w:val="0000EE"/>
            <w:sz w:val="24"/>
            <w:szCs w:val="24"/>
            <w:u w:val="single"/>
          </w:rPr>
          <w:t>https://www.brookings.edu/articles/models-for-aspirant-civil-nuclear-energy-nations-in-the-middle-east/</w:t>
        </w:r>
      </w:hyperlink>
    </w:p>
    <w:p w14:paraId="500DC697"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lastRenderedPageBreak/>
        <w:t xml:space="preserve">Licensing small modular reactors: A state-of-the-art review of the challenges and barriers - White Rose Research Online, дата последнего обращения: октября 1, 2025, </w:t>
      </w:r>
      <w:hyperlink r:id="rId22">
        <w:r w:rsidRPr="00C72BA4">
          <w:rPr>
            <w:rFonts w:ascii="Calibri" w:eastAsia="Google Sans" w:hAnsi="Calibri" w:cs="Calibri"/>
            <w:color w:val="0000EE"/>
            <w:sz w:val="24"/>
            <w:szCs w:val="24"/>
            <w:u w:val="single"/>
          </w:rPr>
          <w:t>https://eprints.whiterose.ac.uk/id/eprint/203205/1/1-s2.0-S0149197023002949-main.pdf</w:t>
        </w:r>
      </w:hyperlink>
    </w:p>
    <w:p w14:paraId="3B886B9E"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MANAGING REGULATORY BODY COMPETENCE - Scientific, technical publications in the nuclear field | IAEA, дата последнего обращения: октября 1, 2025, </w:t>
      </w:r>
      <w:hyperlink r:id="rId23">
        <w:r w:rsidRPr="00C72BA4">
          <w:rPr>
            <w:rFonts w:ascii="Calibri" w:eastAsia="Google Sans" w:hAnsi="Calibri" w:cs="Calibri"/>
            <w:color w:val="0000EE"/>
            <w:sz w:val="24"/>
            <w:szCs w:val="24"/>
            <w:u w:val="single"/>
          </w:rPr>
          <w:t>https://www-pub.iaea.org/MTCD/Publications/PDF/Pub1635_web.pdf</w:t>
        </w:r>
      </w:hyperlink>
    </w:p>
    <w:p w14:paraId="7B95614A"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The Journey of UAE Nuclear Regulator “FANR” - IAEA, дата последнего обращения: октября 1, 2025, </w:t>
      </w:r>
      <w:hyperlink r:id="rId24">
        <w:r w:rsidRPr="00C72BA4">
          <w:rPr>
            <w:rFonts w:ascii="Calibri" w:eastAsia="Google Sans" w:hAnsi="Calibri" w:cs="Calibri"/>
            <w:color w:val="0000EE"/>
            <w:sz w:val="24"/>
            <w:szCs w:val="24"/>
            <w:u w:val="single"/>
          </w:rPr>
          <w:t>https://www.iaea.org/sites/default/files/25/09/session_i_-_ms.3_the_journey_of_uae_regulator_fanr.pdf</w:t>
        </w:r>
      </w:hyperlink>
    </w:p>
    <w:p w14:paraId="2CC24C5E"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Chairman of the Egyptian Nuclear Power Plants Authority (NPPA) Amged El-Wakeel and the First Deputy Director General of Rosatom, Andrey Petrov, were among those who visited the site on Thursday, дата последнего обращения: октября 1, 2025, </w:t>
      </w:r>
      <w:hyperlink r:id="rId25">
        <w:r w:rsidRPr="00C72BA4">
          <w:rPr>
            <w:rFonts w:ascii="Calibri" w:eastAsia="Google Sans" w:hAnsi="Calibri" w:cs="Calibri"/>
            <w:color w:val="0000EE"/>
            <w:sz w:val="24"/>
            <w:szCs w:val="24"/>
            <w:u w:val="single"/>
          </w:rPr>
          <w:t>https://nppa.gov.eg/News/Details?id=2150</w:t>
        </w:r>
      </w:hyperlink>
    </w:p>
    <w:p w14:paraId="34F88EFC"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Nuclear Power Plants Authority (Egypt) - Wikipedia, дата последнего обращения: октября 1, 2025, </w:t>
      </w:r>
      <w:hyperlink r:id="rId26">
        <w:r w:rsidRPr="00C72BA4">
          <w:rPr>
            <w:rFonts w:ascii="Calibri" w:eastAsia="Google Sans" w:hAnsi="Calibri" w:cs="Calibri"/>
            <w:color w:val="0000EE"/>
            <w:sz w:val="24"/>
            <w:szCs w:val="24"/>
            <w:u w:val="single"/>
          </w:rPr>
          <w:t>https://en.wikipedia.org/wiki/Nuclear_Power_Plants_Authority_(Egypt)</w:t>
        </w:r>
      </w:hyperlink>
    </w:p>
    <w:p w14:paraId="3E923569"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Civil nuclear: roadmap to 2050 (accessible webpage) - GOV.UK, дата последнего обращения: октября 1, 2025, </w:t>
      </w:r>
      <w:hyperlink r:id="rId27">
        <w:r w:rsidRPr="00C72BA4">
          <w:rPr>
            <w:rFonts w:ascii="Calibri" w:eastAsia="Google Sans" w:hAnsi="Calibri" w:cs="Calibri"/>
            <w:color w:val="0000EE"/>
            <w:sz w:val="24"/>
            <w:szCs w:val="24"/>
            <w:u w:val="single"/>
          </w:rPr>
          <w:t>https://www.gov.uk/government/publications/civil-nuclear-roadmap-to-2050/civil-nuclear-roadmap-to-2050-accessible-webpage</w:t>
        </w:r>
      </w:hyperlink>
    </w:p>
    <w:p w14:paraId="0A17CB26"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Delivering nuclear power: Government Response to the Committee's Eighth Report, дата последнего обращения: октября 1, 2025, </w:t>
      </w:r>
      <w:hyperlink r:id="rId28">
        <w:r w:rsidRPr="00C72BA4">
          <w:rPr>
            <w:rFonts w:ascii="Calibri" w:eastAsia="Google Sans" w:hAnsi="Calibri" w:cs="Calibri"/>
            <w:color w:val="0000EE"/>
            <w:sz w:val="24"/>
            <w:szCs w:val="24"/>
            <w:u w:val="single"/>
          </w:rPr>
          <w:t>https://publications.parliament.uk/pa/cm5803/cmselect/cmsctech/1897/report.html</w:t>
        </w:r>
      </w:hyperlink>
    </w:p>
    <w:p w14:paraId="4DD927A7"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Regulated Asset Base Models: Their role in energy and infrastructure investment in the UK, дата последнего обращения: октября 1, 2025, </w:t>
      </w:r>
      <w:hyperlink r:id="rId29">
        <w:r w:rsidRPr="00C72BA4">
          <w:rPr>
            <w:rFonts w:ascii="Calibri" w:eastAsia="Google Sans" w:hAnsi="Calibri" w:cs="Calibri"/>
            <w:color w:val="0000EE"/>
            <w:sz w:val="24"/>
            <w:szCs w:val="24"/>
            <w:u w:val="single"/>
          </w:rPr>
          <w:t>https://www.slaughterandmay.com/insights/new-insights/regulated-asset-base-models-their-role-in-energy-and-infrastructure-investment-in-the-uk/</w:t>
        </w:r>
      </w:hyperlink>
    </w:p>
    <w:p w14:paraId="1ED30A03"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The Regulatory Asset Base and Project Finance Models - OECD, дата последнего обращения: октября 1, 2025, </w:t>
      </w:r>
      <w:hyperlink r:id="rId30">
        <w:r w:rsidRPr="00C72BA4">
          <w:rPr>
            <w:rFonts w:ascii="Calibri" w:eastAsia="Google Sans" w:hAnsi="Calibri" w:cs="Calibri"/>
            <w:color w:val="0000EE"/>
            <w:sz w:val="24"/>
            <w:szCs w:val="24"/>
            <w:u w:val="single"/>
          </w:rPr>
          <w:t>https://www.oecd.org/en/publications/the-regulatory-asset-base-and-project-finance-models_5285ca82-en.html</w:t>
        </w:r>
      </w:hyperlink>
    </w:p>
    <w:p w14:paraId="2133CE7D"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The Regulatory Asset Base and Project Finance Models | ITF, дата последнего обращения: октября 1, 2025, </w:t>
      </w:r>
      <w:hyperlink r:id="rId31">
        <w:r w:rsidRPr="00C72BA4">
          <w:rPr>
            <w:rFonts w:ascii="Calibri" w:eastAsia="Google Sans" w:hAnsi="Calibri" w:cs="Calibri"/>
            <w:color w:val="0000EE"/>
            <w:sz w:val="24"/>
            <w:szCs w:val="24"/>
            <w:u w:val="single"/>
          </w:rPr>
          <w:t>https://www.itf-oecd.org/regulatory-asset-base-and-project-finance-models</w:t>
        </w:r>
      </w:hyperlink>
    </w:p>
    <w:p w14:paraId="5B854A21"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Small modular reactors - Energy - European Commission, дата последнего обращения: октября 1, 2025, </w:t>
      </w:r>
      <w:hyperlink r:id="rId32">
        <w:r w:rsidRPr="00C72BA4">
          <w:rPr>
            <w:rFonts w:ascii="Calibri" w:eastAsia="Google Sans" w:hAnsi="Calibri" w:cs="Calibri"/>
            <w:color w:val="0000EE"/>
            <w:sz w:val="24"/>
            <w:szCs w:val="24"/>
            <w:u w:val="single"/>
          </w:rPr>
          <w:t>https://energy.ec.europa.eu/topics/nuclear-energy/small-modular-reactors_en</w:t>
        </w:r>
      </w:hyperlink>
    </w:p>
    <w:p w14:paraId="2379C116"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Generation III+ Small Modular Reactor Program | Department of Energy, дата последнего обращения: октября 1, 2025, </w:t>
      </w:r>
      <w:hyperlink r:id="rId33">
        <w:r w:rsidRPr="00C72BA4">
          <w:rPr>
            <w:rFonts w:ascii="Calibri" w:eastAsia="Google Sans" w:hAnsi="Calibri" w:cs="Calibri"/>
            <w:color w:val="0000EE"/>
            <w:sz w:val="24"/>
            <w:szCs w:val="24"/>
            <w:u w:val="single"/>
          </w:rPr>
          <w:t>https://www.energy.gov/ne/generation-iii-small-modular-reactor-program</w:t>
        </w:r>
      </w:hyperlink>
    </w:p>
    <w:p w14:paraId="10F12E74"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GEN III+ Small Modular Reactor Pathway to Deployment Funding Opportunity - Gateway for Accelerated Innovation in Nuclear %, дата последнего обращения: октября 1, 2025, </w:t>
      </w:r>
      <w:hyperlink r:id="rId34">
        <w:r w:rsidRPr="00C72BA4">
          <w:rPr>
            <w:rFonts w:ascii="Calibri" w:eastAsia="Google Sans" w:hAnsi="Calibri" w:cs="Calibri"/>
            <w:color w:val="0000EE"/>
            <w:sz w:val="24"/>
            <w:szCs w:val="24"/>
            <w:u w:val="single"/>
          </w:rPr>
          <w:t>https://gain.inl.gov/gen-iii-small-modular-reactor-pathway-to-deployment-funding-opportunity/</w:t>
        </w:r>
      </w:hyperlink>
    </w:p>
    <w:p w14:paraId="0F8FDA3B" w14:textId="77777777" w:rsidR="00B2502F" w:rsidRP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European SMR Consortium Signs Agreement With Three Regulators To Begin Pre-Licensing Initiative - NucNet, дата последнего обращения: октября 1, 2025, </w:t>
      </w:r>
      <w:hyperlink r:id="rId35">
        <w:r w:rsidRPr="00C72BA4">
          <w:rPr>
            <w:rFonts w:ascii="Calibri" w:eastAsia="Google Sans" w:hAnsi="Calibri" w:cs="Calibri"/>
            <w:color w:val="0000EE"/>
            <w:sz w:val="24"/>
            <w:szCs w:val="24"/>
            <w:u w:val="single"/>
          </w:rPr>
          <w:t>https://www.nucnet.org/news/european-smr-consortium-signs-agreement-with-three-regulators-to-begin-pre-licensing-initiative-9-2-2025</w:t>
        </w:r>
      </w:hyperlink>
    </w:p>
    <w:p w14:paraId="6BC238BA" w14:textId="77777777" w:rsidR="00C72BA4" w:rsidRDefault="00000000" w:rsidP="00C72BA4">
      <w:pPr>
        <w:numPr>
          <w:ilvl w:val="0"/>
          <w:numId w:val="1"/>
        </w:numPr>
        <w:pBdr>
          <w:top w:val="nil"/>
          <w:left w:val="nil"/>
          <w:bottom w:val="nil"/>
          <w:right w:val="nil"/>
          <w:between w:val="nil"/>
        </w:pBdr>
        <w:jc w:val="both"/>
        <w:rPr>
          <w:rFonts w:ascii="Calibri" w:hAnsi="Calibri" w:cs="Calibri"/>
        </w:rPr>
      </w:pPr>
      <w:r w:rsidRPr="00C72BA4">
        <w:rPr>
          <w:rFonts w:ascii="Calibri" w:eastAsia="Google Sans" w:hAnsi="Calibri" w:cs="Calibri"/>
          <w:sz w:val="24"/>
          <w:szCs w:val="24"/>
        </w:rPr>
        <w:t xml:space="preserve">Regulators unite for pre-licensing of European SMR design - World Nuclear News, дата последнего обращения: октября 1, 2025, </w:t>
      </w:r>
      <w:hyperlink r:id="rId36">
        <w:r w:rsidRPr="00C72BA4">
          <w:rPr>
            <w:rFonts w:ascii="Calibri" w:eastAsia="Google Sans" w:hAnsi="Calibri" w:cs="Calibri"/>
            <w:color w:val="0000EE"/>
            <w:sz w:val="24"/>
            <w:szCs w:val="24"/>
            <w:u w:val="single"/>
          </w:rPr>
          <w:t>https://www.world-nuclear-news.org/articles/regulators-unite-for-pre-licensing-of-european-smr-design</w:t>
        </w:r>
      </w:hyperlink>
    </w:p>
    <w:p w14:paraId="72FB207F" w14:textId="680A3C8F" w:rsidR="00C72BA4" w:rsidRPr="00C72BA4" w:rsidRDefault="00C72BA4">
      <w:pPr>
        <w:numPr>
          <w:ilvl w:val="0"/>
          <w:numId w:val="1"/>
        </w:numPr>
        <w:pBdr>
          <w:top w:val="nil"/>
          <w:left w:val="nil"/>
          <w:bottom w:val="nil"/>
          <w:right w:val="nil"/>
          <w:between w:val="nil"/>
        </w:pBdr>
        <w:jc w:val="both"/>
        <w:rPr>
          <w:rFonts w:ascii="Calibri" w:hAnsi="Calibri" w:cs="Calibri"/>
        </w:rPr>
      </w:pPr>
    </w:p>
    <w:sectPr w:rsidR="00C72BA4" w:rsidRPr="00C72BA4">
      <w:headerReference w:type="default" r:id="rId37"/>
      <w:footerReference w:type="even" r:id="rId38"/>
      <w:footerReference w:type="default" r:id="rId3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FD0DC" w14:textId="77777777" w:rsidR="00B95AE3" w:rsidRDefault="00B95AE3" w:rsidP="00C72BA4">
      <w:r>
        <w:separator/>
      </w:r>
    </w:p>
  </w:endnote>
  <w:endnote w:type="continuationSeparator" w:id="0">
    <w:p w14:paraId="3F0C6DCB" w14:textId="77777777" w:rsidR="00B95AE3" w:rsidRDefault="00B95AE3" w:rsidP="00C72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5A43015-01B5-1641-AC14-FC85C7EA6609}"/>
    <w:embedBold r:id="rId2" w:fontKey="{07642571-82BE-3343-B928-4D3F2A9D0008}"/>
  </w:font>
  <w:font w:name="Times New Roman">
    <w:panose1 w:val="02020603050405020304"/>
    <w:charset w:val="00"/>
    <w:family w:val="roman"/>
    <w:pitch w:val="variable"/>
    <w:sig w:usb0="E0002EFF" w:usb1="C000785B" w:usb2="00000009" w:usb3="00000000" w:csb0="000001FF" w:csb1="00000000"/>
    <w:embedRegular r:id="rId3" w:fontKey="{D76166A7-0206-9343-AF6B-D26E34D55CF9}"/>
  </w:font>
  <w:font w:name="Georgia">
    <w:panose1 w:val="02040502050405020303"/>
    <w:charset w:val="00"/>
    <w:family w:val="roman"/>
    <w:pitch w:val="variable"/>
    <w:sig w:usb0="00000287" w:usb1="00000000" w:usb2="00000000" w:usb3="00000000" w:csb0="0000009F" w:csb1="00000000"/>
    <w:embedRegular r:id="rId4" w:fontKey="{EC1A907C-3395-5C4D-9039-CCCA9C51434D}"/>
    <w:embedItalic r:id="rId5" w:fontKey="{C187CBC5-806F-A04E-82D8-9DC94E57E7C1}"/>
  </w:font>
  <w:font w:name="Calibri">
    <w:panose1 w:val="020F0502020204030204"/>
    <w:charset w:val="00"/>
    <w:family w:val="swiss"/>
    <w:pitch w:val="variable"/>
    <w:sig w:usb0="E4002EFF" w:usb1="C200247B" w:usb2="00000009" w:usb3="00000000" w:csb0="000001FF" w:csb1="00000000"/>
    <w:embedRegular r:id="rId6" w:fontKey="{74208A43-A8CD-624F-A92E-A5104B247B87}"/>
    <w:embedBold r:id="rId7" w:fontKey="{13768112-AB49-5C46-9974-9A4993F706AB}"/>
  </w:font>
  <w:font w:name="Cambria">
    <w:panose1 w:val="02040503050406030204"/>
    <w:charset w:val="00"/>
    <w:family w:val="roman"/>
    <w:pitch w:val="variable"/>
    <w:sig w:usb0="E00006FF" w:usb1="420024FF" w:usb2="02000000" w:usb3="00000000" w:csb0="0000019F" w:csb1="00000000"/>
    <w:embedRegular r:id="rId8" w:fontKey="{41C41029-F6C6-E946-AC7F-0C7C83CAE47A}"/>
  </w:font>
  <w:font w:name="Google Sans">
    <w:altName w:val="Calibri"/>
    <w:panose1 w:val="020B0604020202020204"/>
    <w:charset w:val="00"/>
    <w:family w:val="auto"/>
    <w:pitch w:val="default"/>
    <w:embedRegular r:id="rId9" w:fontKey="{C5F67385-D8E3-EC40-8238-FAF244435BB6}"/>
    <w:embedBold r:id="rId10" w:fontKey="{5872E442-B0FE-6943-9C80-20CB1AE84720}"/>
  </w:font>
  <w:font w:name="Google Sans Text">
    <w:altName w:val="Calibri"/>
    <w:panose1 w:val="020B0604020202020204"/>
    <w:charset w:val="00"/>
    <w:family w:val="auto"/>
    <w:pitch w:val="default"/>
    <w:embedRegular r:id="rId11" w:fontKey="{57754AAE-56D8-4D44-B318-5878C26AAF08}"/>
    <w:embedBold r:id="rId12" w:fontKey="{7C6E2E20-07ED-BC40-B834-D34712DBEAC3}"/>
  </w:font>
  <w:font w:name="Calibri Light">
    <w:panose1 w:val="020F0302020204030204"/>
    <w:charset w:val="00"/>
    <w:family w:val="swiss"/>
    <w:pitch w:val="variable"/>
    <w:sig w:usb0="E0002AFF" w:usb1="C000247B" w:usb2="00000009" w:usb3="00000000" w:csb0="000001FF" w:csb1="00000000"/>
    <w:embedRegular r:id="rId13" w:fontKey="{0AA67776-14F2-6A46-9D7A-7DE1DCD326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800143575"/>
      <w:docPartObj>
        <w:docPartGallery w:val="Page Numbers (Bottom of Page)"/>
        <w:docPartUnique/>
      </w:docPartObj>
    </w:sdtPr>
    <w:sdtContent>
      <w:p w14:paraId="7E2673C1" w14:textId="6E0B80D3" w:rsidR="00C72BA4" w:rsidRDefault="00C72BA4"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08BB2BA2" w14:textId="77777777" w:rsidR="00C72BA4" w:rsidRDefault="00C72BA4" w:rsidP="00C72BA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446532091"/>
      <w:docPartObj>
        <w:docPartGallery w:val="Page Numbers (Bottom of Page)"/>
        <w:docPartUnique/>
      </w:docPartObj>
    </w:sdtPr>
    <w:sdtContent>
      <w:p w14:paraId="3AFD51BF" w14:textId="55841FE9" w:rsidR="00C72BA4" w:rsidRDefault="00C72BA4"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518854AE" w14:textId="77777777" w:rsidR="00C72BA4" w:rsidRPr="00177B08" w:rsidRDefault="00C72BA4" w:rsidP="00C72BA4">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16155DA3" w14:textId="5A432CC4" w:rsidR="00C72BA4" w:rsidRPr="00C72BA4" w:rsidRDefault="00C72BA4" w:rsidP="00C72BA4">
    <w:pPr>
      <w:pStyle w:val="aa"/>
      <w:ind w:right="360"/>
      <w:rPr>
        <w:lang w:val="ru-RU"/>
      </w:rPr>
    </w:pPr>
    <w:r w:rsidRPr="00177B08">
      <w:rPr>
        <w:rFonts w:ascii="Calibri Light" w:eastAsia="Times New Roman" w:hAnsi="Calibri Light" w:cs="Calibri Light"/>
        <w:sz w:val="16"/>
        <w:szCs w:val="16"/>
        <w:lang w:val="en-US"/>
      </w:rPr>
      <w:t xml:space="preserve">© Copyright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xml:space="preserve"> </w:t>
    </w:r>
    <w:r w:rsidRPr="00815D3A">
      <w:rPr>
        <w:rFonts w:ascii="Calibri Light" w:eastAsia="Times New Roman" w:hAnsi="Calibri Light" w:cs="Calibri Light"/>
        <w:sz w:val="16"/>
        <w:szCs w:val="16"/>
        <w:lang w:val="en-US"/>
      </w:rPr>
      <w:t>CONSULTING BUREAU BEOGRAD</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2915" w14:textId="77777777" w:rsidR="00B95AE3" w:rsidRDefault="00B95AE3" w:rsidP="00C72BA4">
      <w:r>
        <w:separator/>
      </w:r>
    </w:p>
  </w:footnote>
  <w:footnote w:type="continuationSeparator" w:id="0">
    <w:p w14:paraId="499EFA86" w14:textId="77777777" w:rsidR="00B95AE3" w:rsidRDefault="00B95AE3" w:rsidP="00C72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7081" w14:textId="57E74516" w:rsidR="00C72BA4" w:rsidRDefault="00C72BA4">
    <w:pPr>
      <w:pStyle w:val="a8"/>
    </w:pPr>
    <w:r w:rsidRPr="002D0DD2">
      <w:rPr>
        <w:noProof/>
      </w:rPr>
      <w:drawing>
        <wp:anchor distT="0" distB="0" distL="114300" distR="114300" simplePos="0" relativeHeight="251659264" behindDoc="0" locked="0" layoutInCell="1" allowOverlap="1" wp14:anchorId="5E5244B1" wp14:editId="4135279C">
          <wp:simplePos x="0" y="0"/>
          <wp:positionH relativeFrom="column">
            <wp:posOffset>32825</wp:posOffset>
          </wp:positionH>
          <wp:positionV relativeFrom="paragraph">
            <wp:posOffset>403274</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F73"/>
    <w:multiLevelType w:val="multilevel"/>
    <w:tmpl w:val="A23EB4F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42993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02F"/>
    <w:rsid w:val="00603180"/>
    <w:rsid w:val="00B2502F"/>
    <w:rsid w:val="00B95AE3"/>
    <w:rsid w:val="00C72BA4"/>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084C750A"/>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10">
    <w:name w:val="toc 1"/>
    <w:basedOn w:val="a"/>
    <w:next w:val="a"/>
    <w:autoRedefine/>
    <w:uiPriority w:val="39"/>
    <w:unhideWhenUsed/>
    <w:rsid w:val="00C72BA4"/>
    <w:pPr>
      <w:spacing w:after="100"/>
    </w:pPr>
  </w:style>
  <w:style w:type="paragraph" w:styleId="20">
    <w:name w:val="toc 2"/>
    <w:basedOn w:val="a"/>
    <w:next w:val="a"/>
    <w:autoRedefine/>
    <w:uiPriority w:val="39"/>
    <w:unhideWhenUsed/>
    <w:rsid w:val="00C72BA4"/>
    <w:pPr>
      <w:spacing w:after="100"/>
      <w:ind w:left="220"/>
    </w:pPr>
  </w:style>
  <w:style w:type="paragraph" w:styleId="30">
    <w:name w:val="toc 3"/>
    <w:basedOn w:val="a"/>
    <w:next w:val="a"/>
    <w:autoRedefine/>
    <w:uiPriority w:val="39"/>
    <w:unhideWhenUsed/>
    <w:rsid w:val="00C72BA4"/>
    <w:pPr>
      <w:spacing w:after="100"/>
      <w:ind w:left="440"/>
    </w:pPr>
  </w:style>
  <w:style w:type="character" w:styleId="a7">
    <w:name w:val="Hyperlink"/>
    <w:basedOn w:val="a0"/>
    <w:uiPriority w:val="99"/>
    <w:unhideWhenUsed/>
    <w:rsid w:val="00C72BA4"/>
    <w:rPr>
      <w:color w:val="0000FF" w:themeColor="hyperlink"/>
      <w:u w:val="single"/>
    </w:rPr>
  </w:style>
  <w:style w:type="paragraph" w:styleId="a8">
    <w:name w:val="header"/>
    <w:basedOn w:val="a"/>
    <w:link w:val="a9"/>
    <w:uiPriority w:val="99"/>
    <w:unhideWhenUsed/>
    <w:rsid w:val="00C72BA4"/>
    <w:pPr>
      <w:tabs>
        <w:tab w:val="center" w:pos="4513"/>
        <w:tab w:val="right" w:pos="9026"/>
      </w:tabs>
    </w:pPr>
  </w:style>
  <w:style w:type="character" w:customStyle="1" w:styleId="a9">
    <w:name w:val="Верхний колонтитул Знак"/>
    <w:basedOn w:val="a0"/>
    <w:link w:val="a8"/>
    <w:uiPriority w:val="99"/>
    <w:rsid w:val="00C72BA4"/>
  </w:style>
  <w:style w:type="paragraph" w:styleId="aa">
    <w:name w:val="footer"/>
    <w:basedOn w:val="a"/>
    <w:link w:val="ab"/>
    <w:uiPriority w:val="99"/>
    <w:unhideWhenUsed/>
    <w:qFormat/>
    <w:rsid w:val="00C72BA4"/>
    <w:pPr>
      <w:tabs>
        <w:tab w:val="center" w:pos="4513"/>
        <w:tab w:val="right" w:pos="9026"/>
      </w:tabs>
    </w:pPr>
  </w:style>
  <w:style w:type="character" w:customStyle="1" w:styleId="ab">
    <w:name w:val="Нижний колонтитул Знак"/>
    <w:basedOn w:val="a0"/>
    <w:link w:val="aa"/>
    <w:uiPriority w:val="99"/>
    <w:rsid w:val="00C72BA4"/>
  </w:style>
  <w:style w:type="character" w:styleId="ac">
    <w:name w:val="page number"/>
    <w:basedOn w:val="a0"/>
    <w:uiPriority w:val="99"/>
    <w:semiHidden/>
    <w:unhideWhenUsed/>
    <w:rsid w:val="00C72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nternational.anl.gov/training/materials/AG/NEPIO.pdf" TargetMode="External"/><Relationship Id="rId18" Type="http://schemas.openxmlformats.org/officeDocument/2006/relationships/hyperlink" Target="https://www-pub.iaea.org/MTCD/Publications/PDF/Pub1305_web.pdf" TargetMode="External"/><Relationship Id="rId26" Type="http://schemas.openxmlformats.org/officeDocument/2006/relationships/hyperlink" Target="https://en.wikipedia.org/wiki/Nuclear_Power_Plants_Authority_(Egypt)" TargetMode="External"/><Relationship Id="rId39" Type="http://schemas.openxmlformats.org/officeDocument/2006/relationships/footer" Target="footer2.xml"/><Relationship Id="rId21" Type="http://schemas.openxmlformats.org/officeDocument/2006/relationships/hyperlink" Target="https://www.brookings.edu/articles/models-for-aspirant-civil-nuclear-energy-nations-in-the-middle-east/" TargetMode="External"/><Relationship Id="rId34" Type="http://schemas.openxmlformats.org/officeDocument/2006/relationships/hyperlink" Target="https://gain.inl.gov/gen-iii-small-modular-reactor-pathway-to-deployment-funding-opportunity/" TargetMode="External"/><Relationship Id="rId7" Type="http://schemas.openxmlformats.org/officeDocument/2006/relationships/hyperlink" Target="https://www-pub.iaea.org/MTCD/Publications/PDF/Pub1704_web.pdf" TargetMode="External"/><Relationship Id="rId2" Type="http://schemas.openxmlformats.org/officeDocument/2006/relationships/styles" Target="styles.xml"/><Relationship Id="rId16" Type="http://schemas.openxmlformats.org/officeDocument/2006/relationships/hyperlink" Target="https://www.oecd-nea.org/upload/docs/application/pdf/2019-12/7185-regulator.pdf" TargetMode="External"/><Relationship Id="rId20" Type="http://schemas.openxmlformats.org/officeDocument/2006/relationships/hyperlink" Target="https://www.econstor.eu/bitstream/10419/220008/1/1694421902.pdf" TargetMode="External"/><Relationship Id="rId29" Type="http://schemas.openxmlformats.org/officeDocument/2006/relationships/hyperlink" Target="https://www.slaughterandmay.com/insights/new-insights/regulated-asset-base-models-their-role-in-energy-and-infrastructure-investment-in-the-u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rc.gov/docs/ML0534/ML053410342.pdf" TargetMode="External"/><Relationship Id="rId24" Type="http://schemas.openxmlformats.org/officeDocument/2006/relationships/hyperlink" Target="https://www.iaea.org/sites/default/files/25/09/session_i_-_ms.3_the_journey_of_uae_regulator_fanr.pdf" TargetMode="External"/><Relationship Id="rId32" Type="http://schemas.openxmlformats.org/officeDocument/2006/relationships/hyperlink" Target="https://energy.ec.europa.eu/topics/nuclear-energy/small-modular-reactors_en"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nr.gov.ae/en/media-centre/news?g=593e32e6-7c2a-4802-bc6c-2d7828c49669" TargetMode="External"/><Relationship Id="rId23" Type="http://schemas.openxmlformats.org/officeDocument/2006/relationships/hyperlink" Target="https://www-pub.iaea.org/MTCD/Publications/PDF/Pub1635_web.pdf" TargetMode="External"/><Relationship Id="rId28" Type="http://schemas.openxmlformats.org/officeDocument/2006/relationships/hyperlink" Target="https://publications.parliament.uk/pa/cm5803/cmselect/cmsctech/1897/report.html" TargetMode="External"/><Relationship Id="rId36" Type="http://schemas.openxmlformats.org/officeDocument/2006/relationships/hyperlink" Target="https://www.world-nuclear-news.org/articles/regulators-unite-for-pre-licensing-of-european-smr-design" TargetMode="External"/><Relationship Id="rId10" Type="http://schemas.openxmlformats.org/officeDocument/2006/relationships/hyperlink" Target="https://www-pub.iaea.org/MTCD/Publications/PDF/P1845_web.pdf" TargetMode="External"/><Relationship Id="rId19" Type="http://schemas.openxmlformats.org/officeDocument/2006/relationships/hyperlink" Target="https://www-pub.iaea.org/MTCD/publications/PDF/cnpp2022/countryprofiles/Egypt/Egypt.htm" TargetMode="External"/><Relationship Id="rId31" Type="http://schemas.openxmlformats.org/officeDocument/2006/relationships/hyperlink" Target="https://www.itf-oecd.org/regulatory-asset-base-and-project-finance-models" TargetMode="External"/><Relationship Id="rId4" Type="http://schemas.openxmlformats.org/officeDocument/2006/relationships/webSettings" Target="webSettings.xml"/><Relationship Id="rId9" Type="http://schemas.openxmlformats.org/officeDocument/2006/relationships/hyperlink" Target="https://www-pub.iaea.org/MTCD/Publications/PDF/Pub1272_web.pdf" TargetMode="External"/><Relationship Id="rId14" Type="http://schemas.openxmlformats.org/officeDocument/2006/relationships/hyperlink" Target="https://www.srbatom.gov.rs/srbatomm/" TargetMode="External"/><Relationship Id="rId22" Type="http://schemas.openxmlformats.org/officeDocument/2006/relationships/hyperlink" Target="https://eprints.whiterose.ac.uk/id/eprint/203205/1/1-s2.0-S0149197023002949-main.pdf" TargetMode="External"/><Relationship Id="rId27" Type="http://schemas.openxmlformats.org/officeDocument/2006/relationships/hyperlink" Target="https://www.gov.uk/government/publications/civil-nuclear-roadmap-to-2050/civil-nuclear-roadmap-to-2050-accessible-webpage" TargetMode="External"/><Relationship Id="rId30" Type="http://schemas.openxmlformats.org/officeDocument/2006/relationships/hyperlink" Target="https://www.oecd.org/en/publications/the-regulatory-asset-base-and-project-finance-models_5285ca82-en.html" TargetMode="External"/><Relationship Id="rId35" Type="http://schemas.openxmlformats.org/officeDocument/2006/relationships/hyperlink" Target="https://www.nucnet.org/news/european-smr-consortium-signs-agreement-with-three-regulators-to-begin-pre-licensing-initiative-9-2-2025" TargetMode="External"/><Relationship Id="rId8" Type="http://schemas.openxmlformats.org/officeDocument/2006/relationships/hyperlink" Target="https://www.iaea.org/sites/default/files/publications/magazines/bulletin/bull57-1/5712832-iaeanews.pdf" TargetMode="External"/><Relationship Id="rId3" Type="http://schemas.openxmlformats.org/officeDocument/2006/relationships/settings" Target="settings.xml"/><Relationship Id="rId12" Type="http://schemas.openxmlformats.org/officeDocument/2006/relationships/hyperlink" Target="https://energyforgrowth.org/article/the-uae-is-a-successful-non-proliferation-model-for-nuclear-newcomers/" TargetMode="External"/><Relationship Id="rId17" Type="http://schemas.openxmlformats.org/officeDocument/2006/relationships/hyperlink" Target="https://www.jaif.or.jp/ja/wnu_si_intro/document/08-08-11-starz_anne.pdf" TargetMode="External"/><Relationship Id="rId25" Type="http://schemas.openxmlformats.org/officeDocument/2006/relationships/hyperlink" Target="https://nppa.gov.eg/News/Details?id=2150" TargetMode="External"/><Relationship Id="rId33" Type="http://schemas.openxmlformats.org/officeDocument/2006/relationships/hyperlink" Target="https://www.energy.gov/ne/generation-iii-small-modular-reactor-program"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4697</Words>
  <Characters>26776</Characters>
  <Application>Microsoft Office Word</Application>
  <DocSecurity>0</DocSecurity>
  <Lines>223</Lines>
  <Paragraphs>62</Paragraphs>
  <ScaleCrop>false</ScaleCrop>
  <Company/>
  <LinksUpToDate>false</LinksUpToDate>
  <CharactersWithSpaces>31411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2025-10-05T15:24:00Z</dcterms:created>
  <dcterms:modified xsi:type="dcterms:W3CDTF">2025-10-05T15:32:00Z</dcterms:modified>
</cp:coreProperties>
</file>