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472D3" w14:textId="77777777" w:rsidR="00447749" w:rsidRPr="006545EF" w:rsidRDefault="00447749" w:rsidP="006545EF">
      <w:pPr>
        <w:pBdr>
          <w:top w:val="nil"/>
          <w:left w:val="nil"/>
          <w:bottom w:val="nil"/>
          <w:right w:val="nil"/>
          <w:between w:val="nil"/>
        </w:pBdr>
        <w:spacing w:after="240" w:line="275" w:lineRule="auto"/>
        <w:jc w:val="both"/>
        <w:rPr>
          <w:rFonts w:asciiTheme="majorHAnsi" w:hAnsiTheme="majorHAnsi" w:cstheme="majorHAnsi"/>
          <w:color w:val="000000"/>
        </w:rPr>
      </w:pPr>
    </w:p>
    <w:p w14:paraId="739B0E51" w14:textId="77777777" w:rsidR="006545EF" w:rsidRPr="006545EF" w:rsidRDefault="00000000" w:rsidP="006545EF">
      <w:pPr>
        <w:rPr>
          <w:rFonts w:asciiTheme="majorHAnsi" w:hAnsiTheme="majorHAnsi" w:cstheme="majorHAnsi"/>
          <w:b/>
          <w:bCs/>
          <w:sz w:val="40"/>
          <w:szCs w:val="40"/>
          <w:lang w:val="ru-RU"/>
        </w:rPr>
      </w:pPr>
      <w:r w:rsidRPr="006545EF">
        <w:rPr>
          <w:rFonts w:asciiTheme="majorHAnsi" w:hAnsiTheme="majorHAnsi" w:cstheme="majorHAnsi"/>
          <w:b/>
          <w:bCs/>
          <w:sz w:val="40"/>
          <w:szCs w:val="40"/>
        </w:rPr>
        <w:t xml:space="preserve">ОТЧЕТ О РАЗВИТИИ АТОМНОЙ ЭНЕРГЕТИКИ В ВОСТОЧНОЙ ЕВРОПЕ </w:t>
      </w:r>
    </w:p>
    <w:p w14:paraId="203BC2C7" w14:textId="77777777" w:rsidR="006545EF" w:rsidRDefault="006545EF" w:rsidP="006545EF">
      <w:pPr>
        <w:rPr>
          <w:lang w:val="ru-RU"/>
        </w:rPr>
      </w:pPr>
    </w:p>
    <w:p w14:paraId="761B07BE" w14:textId="1C5F3A19" w:rsidR="006545EF" w:rsidRPr="006545EF" w:rsidRDefault="006545EF" w:rsidP="006545EF">
      <w:pPr>
        <w:rPr>
          <w:rFonts w:asciiTheme="majorHAnsi" w:hAnsiTheme="majorHAnsi" w:cstheme="majorHAnsi"/>
          <w:b/>
          <w:bCs/>
          <w:sz w:val="36"/>
          <w:szCs w:val="36"/>
          <w:lang w:val="ru-RU"/>
        </w:rPr>
      </w:pPr>
      <w:r w:rsidRPr="006545EF">
        <w:rPr>
          <w:rFonts w:asciiTheme="majorHAnsi" w:hAnsiTheme="majorHAnsi" w:cstheme="majorHAnsi"/>
          <w:b/>
          <w:bCs/>
          <w:sz w:val="36"/>
          <w:szCs w:val="36"/>
          <w:lang w:val="ru-RU"/>
        </w:rPr>
        <w:t>Содержание</w:t>
      </w:r>
    </w:p>
    <w:p w14:paraId="075AEF72" w14:textId="77777777" w:rsidR="006545EF" w:rsidRDefault="006545EF" w:rsidP="006545EF">
      <w:pPr>
        <w:rPr>
          <w:lang w:val="ru-RU"/>
        </w:rPr>
      </w:pPr>
    </w:p>
    <w:p w14:paraId="645DC355" w14:textId="7F83270F" w:rsidR="006545EF" w:rsidRDefault="006545EF">
      <w:pPr>
        <w:pStyle w:val="30"/>
        <w:tabs>
          <w:tab w:val="right" w:leader="dot" w:pos="9350"/>
        </w:tabs>
        <w:rPr>
          <w:rFonts w:asciiTheme="minorHAnsi" w:eastAsiaTheme="minorEastAsia" w:hAnsiTheme="minorHAnsi" w:cstheme="minorBidi"/>
          <w:noProof/>
          <w:kern w:val="2"/>
          <w:sz w:val="24"/>
          <w:szCs w:val="24"/>
          <w14:ligatures w14:val="standardContextual"/>
        </w:rPr>
      </w:pPr>
      <w:r>
        <w:rPr>
          <w:lang w:val="ru-RU"/>
        </w:rPr>
        <w:fldChar w:fldCharType="begin"/>
      </w:r>
      <w:r>
        <w:rPr>
          <w:lang w:val="ru-RU"/>
        </w:rPr>
        <w:instrText xml:space="preserve"> TOC \o "1-3" \h \z \u </w:instrText>
      </w:r>
      <w:r>
        <w:rPr>
          <w:lang w:val="ru-RU"/>
        </w:rPr>
        <w:fldChar w:fldCharType="separate"/>
      </w:r>
      <w:hyperlink w:anchor="_Toc210595452" w:history="1">
        <w:r w:rsidRPr="00CF5C4E">
          <w:rPr>
            <w:rStyle w:val="ab"/>
            <w:rFonts w:asciiTheme="majorHAnsi" w:eastAsia="Google Sans" w:hAnsiTheme="majorHAnsi" w:cstheme="majorHAnsi"/>
            <w:noProof/>
          </w:rPr>
          <w:t>I. СТРАТЕГИЧЕСКОЕ РЕЗЮМЕ И МАКРОЭКОНОМИЧЕСКИЙ КОНТЕКСТ</w:t>
        </w:r>
        <w:r>
          <w:rPr>
            <w:noProof/>
            <w:webHidden/>
          </w:rPr>
          <w:tab/>
        </w:r>
        <w:r>
          <w:rPr>
            <w:noProof/>
            <w:webHidden/>
          </w:rPr>
          <w:fldChar w:fldCharType="begin"/>
        </w:r>
        <w:r>
          <w:rPr>
            <w:noProof/>
            <w:webHidden/>
          </w:rPr>
          <w:instrText xml:space="preserve"> PAGEREF _Toc210595452 \h </w:instrText>
        </w:r>
        <w:r>
          <w:rPr>
            <w:noProof/>
            <w:webHidden/>
          </w:rPr>
        </w:r>
        <w:r>
          <w:rPr>
            <w:noProof/>
            <w:webHidden/>
          </w:rPr>
          <w:fldChar w:fldCharType="separate"/>
        </w:r>
        <w:r>
          <w:rPr>
            <w:noProof/>
            <w:webHidden/>
          </w:rPr>
          <w:t>2</w:t>
        </w:r>
        <w:r>
          <w:rPr>
            <w:noProof/>
            <w:webHidden/>
          </w:rPr>
          <w:fldChar w:fldCharType="end"/>
        </w:r>
      </w:hyperlink>
    </w:p>
    <w:p w14:paraId="7C1B840B" w14:textId="3D4FE01B" w:rsidR="006545EF" w:rsidRDefault="006545EF">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10595453" w:history="1">
        <w:r w:rsidRPr="00CF5C4E">
          <w:rPr>
            <w:rStyle w:val="ab"/>
            <w:rFonts w:asciiTheme="majorHAnsi" w:eastAsia="Google Sans" w:hAnsiTheme="majorHAnsi" w:cstheme="majorHAnsi"/>
            <w:noProof/>
          </w:rPr>
          <w:t>II. РЕГИОНАЛЬНЫЙ ПРОЕКТНЫЙ ЛАНДШАФТ: ТЕХНОЛОГИИ И ВЕНДОРЫ</w:t>
        </w:r>
        <w:r>
          <w:rPr>
            <w:noProof/>
            <w:webHidden/>
          </w:rPr>
          <w:tab/>
        </w:r>
        <w:r>
          <w:rPr>
            <w:noProof/>
            <w:webHidden/>
          </w:rPr>
          <w:fldChar w:fldCharType="begin"/>
        </w:r>
        <w:r>
          <w:rPr>
            <w:noProof/>
            <w:webHidden/>
          </w:rPr>
          <w:instrText xml:space="preserve"> PAGEREF _Toc210595453 \h </w:instrText>
        </w:r>
        <w:r>
          <w:rPr>
            <w:noProof/>
            <w:webHidden/>
          </w:rPr>
        </w:r>
        <w:r>
          <w:rPr>
            <w:noProof/>
            <w:webHidden/>
          </w:rPr>
          <w:fldChar w:fldCharType="separate"/>
        </w:r>
        <w:r>
          <w:rPr>
            <w:noProof/>
            <w:webHidden/>
          </w:rPr>
          <w:t>3</w:t>
        </w:r>
        <w:r>
          <w:rPr>
            <w:noProof/>
            <w:webHidden/>
          </w:rPr>
          <w:fldChar w:fldCharType="end"/>
        </w:r>
      </w:hyperlink>
    </w:p>
    <w:p w14:paraId="46A596FA" w14:textId="2DC569D5" w:rsidR="006545EF" w:rsidRDefault="006545EF">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10595454" w:history="1">
        <w:r w:rsidRPr="00CF5C4E">
          <w:rPr>
            <w:rStyle w:val="ab"/>
            <w:rFonts w:asciiTheme="majorHAnsi" w:eastAsia="Google Sans" w:hAnsiTheme="majorHAnsi" w:cstheme="majorHAnsi"/>
            <w:noProof/>
          </w:rPr>
          <w:t>III. ФИНАНСИРОВАНИЕ, СТОИМОСТЬ И СЛОЖНОСТИ: АНАЛИЗ БАРЬЕРОВ</w:t>
        </w:r>
        <w:r>
          <w:rPr>
            <w:noProof/>
            <w:webHidden/>
          </w:rPr>
          <w:tab/>
        </w:r>
        <w:r>
          <w:rPr>
            <w:noProof/>
            <w:webHidden/>
          </w:rPr>
          <w:fldChar w:fldCharType="begin"/>
        </w:r>
        <w:r>
          <w:rPr>
            <w:noProof/>
            <w:webHidden/>
          </w:rPr>
          <w:instrText xml:space="preserve"> PAGEREF _Toc210595454 \h </w:instrText>
        </w:r>
        <w:r>
          <w:rPr>
            <w:noProof/>
            <w:webHidden/>
          </w:rPr>
        </w:r>
        <w:r>
          <w:rPr>
            <w:noProof/>
            <w:webHidden/>
          </w:rPr>
          <w:fldChar w:fldCharType="separate"/>
        </w:r>
        <w:r>
          <w:rPr>
            <w:noProof/>
            <w:webHidden/>
          </w:rPr>
          <w:t>6</w:t>
        </w:r>
        <w:r>
          <w:rPr>
            <w:noProof/>
            <w:webHidden/>
          </w:rPr>
          <w:fldChar w:fldCharType="end"/>
        </w:r>
      </w:hyperlink>
    </w:p>
    <w:p w14:paraId="599DCDC2" w14:textId="2346AD19" w:rsidR="006545EF" w:rsidRDefault="006545EF">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10595455" w:history="1">
        <w:r w:rsidRPr="00CF5C4E">
          <w:rPr>
            <w:rStyle w:val="ab"/>
            <w:rFonts w:asciiTheme="majorHAnsi" w:eastAsia="Google Sans" w:hAnsiTheme="majorHAnsi" w:cstheme="majorHAnsi"/>
            <w:noProof/>
          </w:rPr>
          <w:t>VI. ПЕРСПЕКТИВЫ РАЗВИТИЯ И ЗАКЛЮЧИТЕЛЬНЫЕ РЕКОМЕНДАЦИИ</w:t>
        </w:r>
        <w:r>
          <w:rPr>
            <w:noProof/>
            <w:webHidden/>
          </w:rPr>
          <w:tab/>
        </w:r>
        <w:r>
          <w:rPr>
            <w:noProof/>
            <w:webHidden/>
          </w:rPr>
          <w:fldChar w:fldCharType="begin"/>
        </w:r>
        <w:r>
          <w:rPr>
            <w:noProof/>
            <w:webHidden/>
          </w:rPr>
          <w:instrText xml:space="preserve"> PAGEREF _Toc210595455 \h </w:instrText>
        </w:r>
        <w:r>
          <w:rPr>
            <w:noProof/>
            <w:webHidden/>
          </w:rPr>
        </w:r>
        <w:r>
          <w:rPr>
            <w:noProof/>
            <w:webHidden/>
          </w:rPr>
          <w:fldChar w:fldCharType="separate"/>
        </w:r>
        <w:r>
          <w:rPr>
            <w:noProof/>
            <w:webHidden/>
          </w:rPr>
          <w:t>8</w:t>
        </w:r>
        <w:r>
          <w:rPr>
            <w:noProof/>
            <w:webHidden/>
          </w:rPr>
          <w:fldChar w:fldCharType="end"/>
        </w:r>
      </w:hyperlink>
    </w:p>
    <w:p w14:paraId="49C8D7A8" w14:textId="15EB7C9F" w:rsidR="006545EF" w:rsidRDefault="006545EF" w:rsidP="006545EF">
      <w:pPr>
        <w:rPr>
          <w:lang w:val="ru-RU"/>
        </w:rPr>
      </w:pPr>
      <w:r>
        <w:rPr>
          <w:lang w:val="ru-RU"/>
        </w:rPr>
        <w:fldChar w:fldCharType="end"/>
      </w:r>
    </w:p>
    <w:p w14:paraId="1D71CA02" w14:textId="77777777" w:rsidR="006545EF" w:rsidRDefault="006545EF" w:rsidP="006545EF">
      <w:pPr>
        <w:rPr>
          <w:lang w:val="ru-RU"/>
        </w:rPr>
      </w:pPr>
    </w:p>
    <w:p w14:paraId="5808C457" w14:textId="77777777" w:rsidR="006545EF" w:rsidRDefault="006545EF" w:rsidP="006545EF">
      <w:pPr>
        <w:rPr>
          <w:lang w:val="ru-RU"/>
        </w:rPr>
      </w:pPr>
    </w:p>
    <w:p w14:paraId="20E10A2A" w14:textId="04FB9B97" w:rsidR="006545EF" w:rsidRDefault="006545EF" w:rsidP="006545EF">
      <w:pPr>
        <w:rPr>
          <w:lang w:val="ru-RU"/>
        </w:rPr>
      </w:pPr>
      <w:r w:rsidRPr="006545EF">
        <w:rPr>
          <w:lang w:val="ru-RU"/>
        </w:rPr>
        <w:drawing>
          <wp:inline distT="0" distB="0" distL="0" distR="0" wp14:anchorId="438CA069" wp14:editId="4E8A2F6A">
            <wp:extent cx="5943600" cy="3997325"/>
            <wp:effectExtent l="0" t="0" r="0" b="3175"/>
            <wp:docPr id="1614254540" name="Рисунок 1" descr="Изображение выглядит как карта, текст, атлас,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254540" name="Рисунок 1" descr="Изображение выглядит как карта, текст, атлас, диаграмма&#10;&#10;Содержимое, созданное искусственным интеллектом, может быть неверным."/>
                    <pic:cNvPicPr/>
                  </pic:nvPicPr>
                  <pic:blipFill>
                    <a:blip r:embed="rId7"/>
                    <a:stretch>
                      <a:fillRect/>
                    </a:stretch>
                  </pic:blipFill>
                  <pic:spPr>
                    <a:xfrm>
                      <a:off x="0" y="0"/>
                      <a:ext cx="5943600" cy="3997325"/>
                    </a:xfrm>
                    <a:prstGeom prst="rect">
                      <a:avLst/>
                    </a:prstGeom>
                  </pic:spPr>
                </pic:pic>
              </a:graphicData>
            </a:graphic>
          </wp:inline>
        </w:drawing>
      </w:r>
    </w:p>
    <w:p w14:paraId="06157E33" w14:textId="77777777" w:rsidR="006545EF" w:rsidRDefault="006545EF" w:rsidP="006545EF">
      <w:pPr>
        <w:rPr>
          <w:lang w:val="ru-RU"/>
        </w:rPr>
      </w:pPr>
    </w:p>
    <w:p w14:paraId="6CD4194E" w14:textId="77777777" w:rsidR="006545EF" w:rsidRDefault="006545EF" w:rsidP="006545EF">
      <w:pPr>
        <w:rPr>
          <w:lang w:val="ru-RU"/>
        </w:rPr>
      </w:pPr>
    </w:p>
    <w:p w14:paraId="4D44F0F2" w14:textId="77777777" w:rsidR="006545EF" w:rsidRDefault="006545EF" w:rsidP="006545EF">
      <w:pPr>
        <w:rPr>
          <w:lang w:val="ru-RU"/>
        </w:rPr>
      </w:pPr>
    </w:p>
    <w:p w14:paraId="3FCA65DB" w14:textId="2649C695" w:rsidR="006545EF" w:rsidRDefault="006545EF">
      <w:pPr>
        <w:rPr>
          <w:lang w:val="ru-RU"/>
        </w:rPr>
      </w:pPr>
      <w:r>
        <w:rPr>
          <w:lang w:val="ru-RU"/>
        </w:rPr>
        <w:br w:type="page"/>
      </w:r>
    </w:p>
    <w:p w14:paraId="77540A22" w14:textId="77777777" w:rsidR="006545EF" w:rsidRPr="006545EF" w:rsidRDefault="006545EF" w:rsidP="006545EF">
      <w:pPr>
        <w:rPr>
          <w:lang w:val="ru-RU"/>
        </w:rPr>
      </w:pPr>
    </w:p>
    <w:p w14:paraId="29145856" w14:textId="77777777" w:rsidR="006545EF" w:rsidRPr="006545EF" w:rsidRDefault="00000000" w:rsidP="006545EF">
      <w:pPr>
        <w:pStyle w:val="3"/>
        <w:spacing w:before="0" w:after="120" w:line="275" w:lineRule="auto"/>
        <w:jc w:val="both"/>
        <w:rPr>
          <w:rFonts w:asciiTheme="majorHAnsi" w:eastAsia="Google Sans" w:hAnsiTheme="majorHAnsi" w:cstheme="majorHAnsi"/>
          <w:color w:val="1B1C1D"/>
        </w:rPr>
      </w:pPr>
      <w:bookmarkStart w:id="0" w:name="_Toc210595452"/>
      <w:r w:rsidRPr="006545EF">
        <w:rPr>
          <w:rFonts w:asciiTheme="majorHAnsi" w:eastAsia="Google Sans" w:hAnsiTheme="majorHAnsi" w:cstheme="majorHAnsi"/>
          <w:color w:val="1B1C1D"/>
        </w:rPr>
        <w:t>I. СТРАТЕГИЧЕСКОЕ РЕЗЮМЕ И МАКРОЭКОНОМИЧЕСКИЙ КОНТЕКСТ</w:t>
      </w:r>
      <w:bookmarkEnd w:id="0"/>
    </w:p>
    <w:p w14:paraId="2E799A81" w14:textId="1E5E7752" w:rsidR="006545EF" w:rsidRPr="006545EF" w:rsidRDefault="00000000" w:rsidP="006545EF">
      <w:pPr>
        <w:pStyle w:val="4"/>
        <w:spacing w:before="0" w:after="120" w:line="275" w:lineRule="auto"/>
        <w:jc w:val="both"/>
        <w:rPr>
          <w:rFonts w:asciiTheme="majorHAnsi" w:eastAsia="Google Sans" w:hAnsiTheme="majorHAnsi" w:cstheme="majorHAnsi"/>
          <w:color w:val="1B1C1D"/>
        </w:rPr>
      </w:pPr>
      <w:r w:rsidRPr="006545EF">
        <w:rPr>
          <w:rFonts w:asciiTheme="majorHAnsi" w:eastAsia="Google Sans" w:hAnsiTheme="majorHAnsi" w:cstheme="majorHAnsi"/>
          <w:color w:val="1B1C1D"/>
        </w:rPr>
        <w:t>1.1. Геополитические Драйверы и Объемы Амбиций Восточной Европы</w:t>
      </w:r>
    </w:p>
    <w:p w14:paraId="4819F538" w14:textId="53C7AE61" w:rsidR="00447749"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Страны Восточной Европы в настоящее время находятся на этапе планирования и реализации инициативы, которую эксперты называют «крупнейшим проектом века» в энергетике. Этот ядерный ренессанс обусловлен двумя мощными стратегическими императивами: необходимостью соответствовать целям Европейского союза по углеродной нейтральности, который включил атомную энергию в свои «зеленые» планы, и острой потребностью в снижении критической зависимости от импорта российского газа и ядерного топлива, особенно после 2022 года.</w:t>
      </w:r>
      <w:r w:rsidRPr="006545EF">
        <w:rPr>
          <w:rFonts w:asciiTheme="majorHAnsi" w:eastAsia="Google Sans Text" w:hAnsiTheme="majorHAnsi" w:cstheme="majorHAnsi"/>
          <w:color w:val="575B5F"/>
          <w:sz w:val="24"/>
          <w:szCs w:val="24"/>
          <w:vertAlign w:val="superscript"/>
        </w:rPr>
        <w:t>1</w:t>
      </w:r>
    </w:p>
    <w:p w14:paraId="26E13884" w14:textId="77777777" w:rsidR="00447749"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Совокупный масштаб этих амбиций беспрецедентен. Регион, охватывающий страны от Чехии до Румынии, планирует возведение не менее 12 новых атомных энергоблоков, что, по последним прогнозам, собранным Bloomberg, потребует инвестиций в размере около €130 миллиардов ($139 миллиардов). Существует оптимистичный прогноз, согласно которому первая из этих новых установок может быть введена в эксплуатацию в течение текущего десятилетия.</w:t>
      </w:r>
      <w:r w:rsidRPr="006545EF">
        <w:rPr>
          <w:rFonts w:asciiTheme="majorHAnsi" w:eastAsia="Google Sans Text" w:hAnsiTheme="majorHAnsi" w:cstheme="majorHAnsi"/>
          <w:color w:val="575B5F"/>
          <w:sz w:val="24"/>
          <w:szCs w:val="24"/>
          <w:vertAlign w:val="superscript"/>
        </w:rPr>
        <w:t>1</w:t>
      </w:r>
    </w:p>
    <w:p w14:paraId="2941EB42" w14:textId="77777777" w:rsidR="00447749"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Финансовые требования, связанные с этими планами, огромны и ставят под сомнение традиционные рыночные модели инвестирования. Например, стоимость первой атомной электростанции в Польше, которая долгое время доминировала в производстве энергии на угле, может превысить 30 миллиардов долларов — сумма, эквивалентная всему оборонному бюджету страны за 2023 год. Такие объемы капиталовложений свидетельствуют о том, что для правительств национальная энергетическая безопасность и суверенитет являются приоритетом, превосходящим чистую краткосрочную экономическую эффективность. Поскольку ни один частный инвестор не готов единолично брать на себя риски строительства столь масштабных объектов, правительства вынуждены вмешиваться, что приводит к необходимости беспрецедентного уровня государственного финансирования и субсидирования.</w:t>
      </w:r>
      <w:r w:rsidRPr="006545EF">
        <w:rPr>
          <w:rFonts w:asciiTheme="majorHAnsi" w:eastAsia="Google Sans Text" w:hAnsiTheme="majorHAnsi" w:cstheme="majorHAnsi"/>
          <w:color w:val="575B5F"/>
          <w:sz w:val="24"/>
          <w:szCs w:val="24"/>
          <w:vertAlign w:val="superscript"/>
        </w:rPr>
        <w:t>1</w:t>
      </w:r>
    </w:p>
    <w:p w14:paraId="62775D7F" w14:textId="77777777" w:rsidR="006545EF"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 xml:space="preserve">Эта зависимость от государственного капитала, как, например, в Чехии, где государственные займы могут покрыть до 90% затрат на новый реактор </w:t>
      </w:r>
      <w:r w:rsidRPr="006545EF">
        <w:rPr>
          <w:rFonts w:asciiTheme="majorHAnsi" w:eastAsia="Google Sans Text" w:hAnsiTheme="majorHAnsi" w:cstheme="majorHAnsi"/>
          <w:color w:val="575B5F"/>
          <w:sz w:val="24"/>
          <w:szCs w:val="24"/>
          <w:vertAlign w:val="superscript"/>
        </w:rPr>
        <w:t>1</w:t>
      </w:r>
      <w:r w:rsidRPr="006545EF">
        <w:rPr>
          <w:rFonts w:asciiTheme="majorHAnsi" w:eastAsia="Google Sans Text" w:hAnsiTheme="majorHAnsi" w:cstheme="majorHAnsi"/>
          <w:color w:val="1B1C1D"/>
        </w:rPr>
        <w:t>, означает системный отход от чисто рыночных принципов. В Европе принимается модель государственного капиталовложения, адаптированная под регуляторные рамки ЕС, что гарантирует жизнеспособность проектов в условиях высокой стоимости и длительных сроков реализации. Ключевым фактором для успеха станет доступ к субсидиям ЕС, хотя за эти средства будет острая конкуренция.</w:t>
      </w:r>
      <w:r w:rsidRPr="006545EF">
        <w:rPr>
          <w:rFonts w:asciiTheme="majorHAnsi" w:eastAsia="Google Sans Text" w:hAnsiTheme="majorHAnsi" w:cstheme="majorHAnsi"/>
          <w:color w:val="575B5F"/>
          <w:sz w:val="24"/>
          <w:szCs w:val="24"/>
          <w:vertAlign w:val="superscript"/>
        </w:rPr>
        <w:t>1</w:t>
      </w:r>
    </w:p>
    <w:p w14:paraId="08A1500A" w14:textId="77777777" w:rsidR="006545EF" w:rsidRPr="006545EF" w:rsidRDefault="00000000" w:rsidP="006545EF">
      <w:pPr>
        <w:pStyle w:val="4"/>
        <w:spacing w:before="0" w:after="120" w:line="275" w:lineRule="auto"/>
        <w:jc w:val="both"/>
        <w:rPr>
          <w:rFonts w:asciiTheme="majorHAnsi" w:eastAsia="Google Sans" w:hAnsiTheme="majorHAnsi" w:cstheme="majorHAnsi"/>
          <w:color w:val="1B1C1D"/>
        </w:rPr>
      </w:pPr>
      <w:r w:rsidRPr="006545EF">
        <w:rPr>
          <w:rFonts w:asciiTheme="majorHAnsi" w:eastAsia="Google Sans" w:hAnsiTheme="majorHAnsi" w:cstheme="majorHAnsi"/>
          <w:color w:val="1B1C1D"/>
        </w:rPr>
        <w:t>1.2. Системные Риски и Конкуренция за Ресурсы</w:t>
      </w:r>
    </w:p>
    <w:p w14:paraId="785C9616" w14:textId="184ACCD9" w:rsidR="00447749"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Региональные амбиции по развертыванию как крупных ядерных установок (LNP), так и малых модульных реакторов (SMR), сталкиваются с серьезными структурными ограничениями. Исторические прецеденты, такие как проект в Моховце (Словакия), где строительство нового энергоблока было отложено на десять лет, а стоимость удвоилась, доказывают системные риски, присущие европейским ядерным проектам.</w:t>
      </w:r>
      <w:r w:rsidRPr="006545EF">
        <w:rPr>
          <w:rFonts w:asciiTheme="majorHAnsi" w:eastAsia="Google Sans Text" w:hAnsiTheme="majorHAnsi" w:cstheme="majorHAnsi"/>
          <w:color w:val="575B5F"/>
          <w:sz w:val="24"/>
          <w:szCs w:val="24"/>
          <w:vertAlign w:val="superscript"/>
        </w:rPr>
        <w:t>1</w:t>
      </w:r>
      <w:r w:rsidRPr="006545EF">
        <w:rPr>
          <w:rFonts w:asciiTheme="majorHAnsi" w:eastAsia="Google Sans Text" w:hAnsiTheme="majorHAnsi" w:cstheme="majorHAnsi"/>
          <w:color w:val="1B1C1D"/>
        </w:rPr>
        <w:t xml:space="preserve"> Этот опыт устанавливает региональный ориентир </w:t>
      </w:r>
      <w:r w:rsidRPr="006545EF">
        <w:rPr>
          <w:rFonts w:asciiTheme="majorHAnsi" w:eastAsia="Google Sans Text" w:hAnsiTheme="majorHAnsi" w:cstheme="majorHAnsi"/>
          <w:color w:val="1B1C1D"/>
        </w:rPr>
        <w:lastRenderedPageBreak/>
        <w:t>проектных рисков, известный как «множитель Моховце» (Mochovce Multiplier), который частные и государственные финансовые институты обязаны учитывать при оценке будущих капитальных затрат.</w:t>
      </w:r>
    </w:p>
    <w:p w14:paraId="1C017E23" w14:textId="77777777" w:rsidR="006545EF"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Кроме того, существует острая нехватка квалифицированных экспертов, подрядчиков и критически важных компонентов. Эта проблема усугубляется тем, что Западная Европа, в частности Франция, также активизировала свои программы строительства новых реакторов, создавая жесткую конкуренцию за ограниченные европейские ресурсы и персонал. Если этот дефицит не будет устранен, сроки реализации проектов, вероятно, будут сдвигаться, даже если финансирование будет обеспечено.</w:t>
      </w:r>
      <w:r w:rsidRPr="006545EF">
        <w:rPr>
          <w:rFonts w:asciiTheme="majorHAnsi" w:eastAsia="Google Sans Text" w:hAnsiTheme="majorHAnsi" w:cstheme="majorHAnsi"/>
          <w:color w:val="575B5F"/>
          <w:sz w:val="24"/>
          <w:szCs w:val="24"/>
          <w:vertAlign w:val="superscript"/>
        </w:rPr>
        <w:t>1</w:t>
      </w:r>
    </w:p>
    <w:p w14:paraId="3485F82A" w14:textId="77777777" w:rsidR="006545EF" w:rsidRPr="006545EF" w:rsidRDefault="00000000" w:rsidP="006545EF">
      <w:pPr>
        <w:pStyle w:val="3"/>
        <w:spacing w:before="0" w:after="120" w:line="275" w:lineRule="auto"/>
        <w:jc w:val="both"/>
        <w:rPr>
          <w:rFonts w:asciiTheme="majorHAnsi" w:eastAsia="Google Sans" w:hAnsiTheme="majorHAnsi" w:cstheme="majorHAnsi"/>
          <w:color w:val="1B1C1D"/>
        </w:rPr>
      </w:pPr>
      <w:bookmarkStart w:id="1" w:name="_Toc210595453"/>
      <w:r w:rsidRPr="006545EF">
        <w:rPr>
          <w:rFonts w:asciiTheme="majorHAnsi" w:eastAsia="Google Sans" w:hAnsiTheme="majorHAnsi" w:cstheme="majorHAnsi"/>
          <w:color w:val="1B1C1D"/>
        </w:rPr>
        <w:t>II. РЕГИОНАЛЬНЫЙ ПРОЕКТНЫЙ ЛАНДШАФТ: ТЕХНОЛОГИИ И ВЕНДОРЫ</w:t>
      </w:r>
      <w:bookmarkEnd w:id="1"/>
    </w:p>
    <w:p w14:paraId="7180B98A" w14:textId="77777777" w:rsidR="006545EF"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Анализ показывает четкую сегментацию региональных стратегий, основанную на геополитической ориентации и выборе технологий (LNP или SMR).</w:t>
      </w:r>
    </w:p>
    <w:p w14:paraId="233AB2B7" w14:textId="77777777" w:rsidR="006545EF" w:rsidRPr="006545EF" w:rsidRDefault="00000000" w:rsidP="006545EF">
      <w:pPr>
        <w:pStyle w:val="4"/>
        <w:spacing w:before="0" w:after="120" w:line="275" w:lineRule="auto"/>
        <w:jc w:val="both"/>
        <w:rPr>
          <w:rFonts w:asciiTheme="majorHAnsi" w:eastAsia="Google Sans" w:hAnsiTheme="majorHAnsi" w:cstheme="majorHAnsi"/>
          <w:color w:val="1B1C1D"/>
        </w:rPr>
      </w:pPr>
      <w:r w:rsidRPr="006545EF">
        <w:rPr>
          <w:rFonts w:asciiTheme="majorHAnsi" w:eastAsia="Google Sans" w:hAnsiTheme="majorHAnsi" w:cstheme="majorHAnsi"/>
          <w:color w:val="1B1C1D"/>
        </w:rPr>
        <w:t>2.1. Центральная Европа: LNP и Диверсификация</w:t>
      </w:r>
    </w:p>
    <w:p w14:paraId="5EDA77C6" w14:textId="725ADF70" w:rsidR="00447749" w:rsidRPr="006545EF" w:rsidRDefault="00000000" w:rsidP="006545EF">
      <w:pPr>
        <w:pBdr>
          <w:top w:val="nil"/>
          <w:left w:val="nil"/>
          <w:bottom w:val="nil"/>
          <w:right w:val="nil"/>
          <w:between w:val="nil"/>
        </w:pBdr>
        <w:spacing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b/>
          <w:color w:val="1B1C1D"/>
        </w:rPr>
        <w:t>Польша:</w:t>
      </w:r>
      <w:r w:rsidRPr="006545EF">
        <w:rPr>
          <w:rFonts w:asciiTheme="majorHAnsi" w:eastAsia="Google Sans Text" w:hAnsiTheme="majorHAnsi" w:cstheme="majorHAnsi"/>
          <w:color w:val="1B1C1D"/>
        </w:rPr>
        <w:t xml:space="preserve"> Демонстрирует разделенный подход, направленный на максимально быструю декарбонизацию.</w:t>
      </w:r>
    </w:p>
    <w:p w14:paraId="7E31C69C" w14:textId="77777777" w:rsidR="00447749" w:rsidRPr="006545EF" w:rsidRDefault="00000000" w:rsidP="006545EF">
      <w:pPr>
        <w:numPr>
          <w:ilvl w:val="0"/>
          <w:numId w:val="1"/>
        </w:numPr>
        <w:pBdr>
          <w:top w:val="nil"/>
          <w:left w:val="nil"/>
          <w:bottom w:val="nil"/>
          <w:right w:val="nil"/>
          <w:between w:val="nil"/>
        </w:pBdr>
        <w:spacing w:line="275" w:lineRule="auto"/>
        <w:jc w:val="both"/>
        <w:rPr>
          <w:rFonts w:asciiTheme="majorHAnsi" w:hAnsiTheme="majorHAnsi" w:cstheme="majorHAnsi"/>
        </w:rPr>
      </w:pPr>
      <w:r w:rsidRPr="006545EF">
        <w:rPr>
          <w:rFonts w:asciiTheme="majorHAnsi" w:eastAsia="Google Sans Text" w:hAnsiTheme="majorHAnsi" w:cstheme="majorHAnsi"/>
          <w:b/>
          <w:color w:val="1B1C1D"/>
        </w:rPr>
        <w:t>Проект LNP:</w:t>
      </w:r>
      <w:r w:rsidRPr="006545EF">
        <w:rPr>
          <w:rFonts w:asciiTheme="majorHAnsi" w:eastAsia="Google Sans Text" w:hAnsiTheme="majorHAnsi" w:cstheme="majorHAnsi"/>
          <w:color w:val="1B1C1D"/>
        </w:rPr>
        <w:t xml:space="preserve"> Первый государственный проект предполагает строительство реакторов Westinghouse Electric Co. AP1000 на побережье Померании (3 блока, приблизительно 3,750 МВт). Финансирование этого многомиллиардного проекта ($30 млрд) требует согласования помощи ЕС в рамках бюджетного цикла 2028-2034 годов.</w:t>
      </w:r>
      <w:r w:rsidRPr="006545EF">
        <w:rPr>
          <w:rFonts w:asciiTheme="majorHAnsi" w:eastAsia="Google Sans Text" w:hAnsiTheme="majorHAnsi" w:cstheme="majorHAnsi"/>
          <w:color w:val="575B5F"/>
          <w:sz w:val="24"/>
          <w:szCs w:val="24"/>
          <w:vertAlign w:val="superscript"/>
        </w:rPr>
        <w:t>1</w:t>
      </w:r>
    </w:p>
    <w:p w14:paraId="569D4D26" w14:textId="77777777" w:rsidR="00447749" w:rsidRPr="006545EF" w:rsidRDefault="00000000" w:rsidP="006545EF">
      <w:pPr>
        <w:numPr>
          <w:ilvl w:val="0"/>
          <w:numId w:val="1"/>
        </w:numPr>
        <w:pBdr>
          <w:top w:val="nil"/>
          <w:left w:val="nil"/>
          <w:bottom w:val="nil"/>
          <w:right w:val="nil"/>
          <w:between w:val="nil"/>
        </w:pBdr>
        <w:spacing w:after="120" w:line="275" w:lineRule="auto"/>
        <w:jc w:val="both"/>
        <w:rPr>
          <w:rFonts w:asciiTheme="majorHAnsi" w:hAnsiTheme="majorHAnsi" w:cstheme="majorHAnsi"/>
        </w:rPr>
      </w:pPr>
      <w:r w:rsidRPr="006545EF">
        <w:rPr>
          <w:rFonts w:asciiTheme="majorHAnsi" w:eastAsia="Google Sans Text" w:hAnsiTheme="majorHAnsi" w:cstheme="majorHAnsi"/>
          <w:b/>
          <w:color w:val="1B1C1D"/>
        </w:rPr>
        <w:t>Проект SMR:</w:t>
      </w:r>
      <w:r w:rsidRPr="006545EF">
        <w:rPr>
          <w:rFonts w:asciiTheme="majorHAnsi" w:eastAsia="Google Sans Text" w:hAnsiTheme="majorHAnsi" w:cstheme="majorHAnsi"/>
          <w:color w:val="1B1C1D"/>
        </w:rPr>
        <w:t xml:space="preserve"> Параллельно развивается частно-государственное предприятие OSGE (Orlen/Synthos Green Energy), которое выбрало технологию BWRX-300. Włocławek был определен первой площадкой с планами на строительство 600 МВт SMR-мощностей к 2035 году.</w:t>
      </w:r>
      <w:r w:rsidRPr="006545EF">
        <w:rPr>
          <w:rFonts w:asciiTheme="majorHAnsi" w:eastAsia="Google Sans Text" w:hAnsiTheme="majorHAnsi" w:cstheme="majorHAnsi"/>
          <w:color w:val="575B5F"/>
          <w:sz w:val="24"/>
          <w:szCs w:val="24"/>
          <w:vertAlign w:val="superscript"/>
        </w:rPr>
        <w:t>2</w:t>
      </w:r>
      <w:r w:rsidRPr="006545EF">
        <w:rPr>
          <w:rFonts w:asciiTheme="majorHAnsi" w:eastAsia="Google Sans Text" w:hAnsiTheme="majorHAnsi" w:cstheme="majorHAnsi"/>
          <w:color w:val="1B1C1D"/>
        </w:rPr>
        <w:t xml:space="preserve"> SMR рассматриваются здесь как инструмент быстрого развертывания и декарбонизации промышленности.</w:t>
      </w:r>
    </w:p>
    <w:p w14:paraId="6BA59C05" w14:textId="77777777" w:rsidR="00447749" w:rsidRPr="006545EF" w:rsidRDefault="00000000" w:rsidP="006545EF">
      <w:pPr>
        <w:pBdr>
          <w:top w:val="nil"/>
          <w:left w:val="nil"/>
          <w:bottom w:val="nil"/>
          <w:right w:val="nil"/>
          <w:between w:val="nil"/>
        </w:pBdr>
        <w:spacing w:before="240" w:line="275" w:lineRule="auto"/>
        <w:jc w:val="both"/>
        <w:rPr>
          <w:rFonts w:asciiTheme="majorHAnsi" w:eastAsia="Google Sans Text" w:hAnsiTheme="majorHAnsi" w:cstheme="majorHAnsi"/>
        </w:rPr>
      </w:pPr>
      <w:r w:rsidRPr="006545EF">
        <w:rPr>
          <w:rFonts w:asciiTheme="majorHAnsi" w:eastAsia="Google Sans Text" w:hAnsiTheme="majorHAnsi" w:cstheme="majorHAnsi"/>
        </w:rPr>
        <w:t>Чехия: Фокусируется на расширении существующей инфраструктуры.</w:t>
      </w:r>
    </w:p>
    <w:p w14:paraId="4B5F5743" w14:textId="77777777" w:rsidR="00447749" w:rsidRPr="006545EF" w:rsidRDefault="00000000" w:rsidP="006545EF">
      <w:pPr>
        <w:pBdr>
          <w:top w:val="nil"/>
          <w:left w:val="nil"/>
          <w:bottom w:val="nil"/>
          <w:right w:val="nil"/>
          <w:between w:val="nil"/>
        </w:pBdr>
        <w:spacing w:line="275" w:lineRule="auto"/>
        <w:jc w:val="both"/>
        <w:rPr>
          <w:rFonts w:asciiTheme="majorHAnsi" w:eastAsia="Google Sans Text" w:hAnsiTheme="majorHAnsi" w:cstheme="majorHAnsi"/>
        </w:rPr>
      </w:pPr>
      <w:r w:rsidRPr="006545EF">
        <w:rPr>
          <w:rFonts w:asciiTheme="majorHAnsi" w:eastAsia="Google Sans Text" w:hAnsiTheme="majorHAnsi" w:cstheme="majorHAnsi"/>
        </w:rPr>
        <w:t>Проект включает строительство как минимум одного, а в перспективе и двух, реакторов на АЭС Дукованы. Стоимость одного реактора оценивается примерно в 200 миллиардов чешских крон (около €8 миллиардов). Строительство планируется начать в 2029 году, а ввод в эксплуатацию первого реактора ожидается в 2036 году. Финансовая модель опирается на государственные займы, которые, по заявлению заместителя министра экономики и торговли, составят около 90% от общих затрат, что подтверждает государственную модель капиталовложений.1</w:t>
      </w:r>
    </w:p>
    <w:p w14:paraId="23A39150" w14:textId="77777777" w:rsidR="00447749"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b/>
          <w:color w:val="1B1C1D"/>
        </w:rPr>
        <w:t>Венгрия:</w:t>
      </w:r>
      <w:r w:rsidRPr="006545EF">
        <w:rPr>
          <w:rFonts w:asciiTheme="majorHAnsi" w:eastAsia="Google Sans Text" w:hAnsiTheme="majorHAnsi" w:cstheme="majorHAnsi"/>
          <w:color w:val="1B1C1D"/>
        </w:rPr>
        <w:t xml:space="preserve"> Проект «Пакш II» (Росатом, ВВЭР-1200) является единственной крупной ядерной стройкой в ЕС, финансируемой Россией, наряду с новым блоком в Словакии.</w:t>
      </w:r>
      <w:r w:rsidRPr="006545EF">
        <w:rPr>
          <w:rFonts w:asciiTheme="majorHAnsi" w:eastAsia="Google Sans Text" w:hAnsiTheme="majorHAnsi" w:cstheme="majorHAnsi"/>
          <w:color w:val="575B5F"/>
          <w:sz w:val="24"/>
          <w:szCs w:val="24"/>
          <w:vertAlign w:val="superscript"/>
        </w:rPr>
        <w:t>1</w:t>
      </w:r>
      <w:r w:rsidRPr="006545EF">
        <w:rPr>
          <w:rFonts w:asciiTheme="majorHAnsi" w:eastAsia="Google Sans Text" w:hAnsiTheme="majorHAnsi" w:cstheme="majorHAnsi"/>
          <w:color w:val="1B1C1D"/>
        </w:rPr>
        <w:t xml:space="preserve"> Однако проект столкнулся с серьезными юридическими препятствиями. Суд Европейского Союза (CJEU) аннулировал решение Еврокомиссии, одобрившее государственную помощь Венгрии проекту, потребовав пересмотра на предмет соблюдения правил государственных закупок ЕС. Хотя Будапешт не видит оснований для остановки проекта и намерен сотрудничать с Комиссией, это решение налагает дополнительные </w:t>
      </w:r>
      <w:r w:rsidRPr="006545EF">
        <w:rPr>
          <w:rFonts w:asciiTheme="majorHAnsi" w:eastAsia="Google Sans Text" w:hAnsiTheme="majorHAnsi" w:cstheme="majorHAnsi"/>
          <w:color w:val="1B1C1D"/>
        </w:rPr>
        <w:lastRenderedPageBreak/>
        <w:t>регуляторные препятствия и, вероятно, приведет к дальнейшим задержкам.</w:t>
      </w:r>
      <w:r w:rsidRPr="006545EF">
        <w:rPr>
          <w:rFonts w:asciiTheme="majorHAnsi" w:eastAsia="Google Sans Text" w:hAnsiTheme="majorHAnsi" w:cstheme="majorHAnsi"/>
          <w:color w:val="575B5F"/>
          <w:sz w:val="24"/>
          <w:szCs w:val="24"/>
          <w:vertAlign w:val="superscript"/>
        </w:rPr>
        <w:t>5</w:t>
      </w:r>
    </w:p>
    <w:p w14:paraId="3E39DB7F" w14:textId="77777777" w:rsidR="006545EF"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b/>
          <w:color w:val="1B1C1D"/>
        </w:rPr>
        <w:t>Словакия:</w:t>
      </w:r>
      <w:r w:rsidRPr="006545EF">
        <w:rPr>
          <w:rFonts w:asciiTheme="majorHAnsi" w:eastAsia="Google Sans Text" w:hAnsiTheme="majorHAnsi" w:cstheme="majorHAnsi"/>
          <w:color w:val="1B1C1D"/>
        </w:rPr>
        <w:t xml:space="preserve"> Словакия, будучи нетто-экспортером электроэнергии с 2023 года, сохраняет сильную политическую поддержку атомной энергетики, которая обеспечивает 60–63% ее электроснабжения.</w:t>
      </w:r>
      <w:r w:rsidRPr="006545EF">
        <w:rPr>
          <w:rFonts w:asciiTheme="majorHAnsi" w:eastAsia="Google Sans Text" w:hAnsiTheme="majorHAnsi" w:cstheme="majorHAnsi"/>
          <w:color w:val="575B5F"/>
          <w:sz w:val="24"/>
          <w:szCs w:val="24"/>
          <w:vertAlign w:val="superscript"/>
        </w:rPr>
        <w:t>1</w:t>
      </w:r>
      <w:r w:rsidRPr="006545EF">
        <w:rPr>
          <w:rFonts w:asciiTheme="majorHAnsi" w:eastAsia="Google Sans Text" w:hAnsiTheme="majorHAnsi" w:cstheme="majorHAnsi"/>
          <w:color w:val="1B1C1D"/>
        </w:rPr>
        <w:t xml:space="preserve"> Завершение строительства Mochovce-4 ожидается в 2025 году.</w:t>
      </w:r>
      <w:r w:rsidRPr="006545EF">
        <w:rPr>
          <w:rFonts w:asciiTheme="majorHAnsi" w:eastAsia="Google Sans Text" w:hAnsiTheme="majorHAnsi" w:cstheme="majorHAnsi"/>
          <w:color w:val="575B5F"/>
          <w:sz w:val="24"/>
          <w:szCs w:val="24"/>
          <w:vertAlign w:val="superscript"/>
        </w:rPr>
        <w:t>6</w:t>
      </w:r>
      <w:r w:rsidRPr="006545EF">
        <w:rPr>
          <w:rFonts w:asciiTheme="majorHAnsi" w:eastAsia="Google Sans Text" w:hAnsiTheme="majorHAnsi" w:cstheme="majorHAnsi"/>
          <w:color w:val="1B1C1D"/>
        </w:rPr>
        <w:t xml:space="preserve"> Параллельно правительство одобрило строительство нового реактора мощностью 1.2 ГВт на площадке Богунице. Инвестиции оцениваются в €10–€15 миллиардов с ожидаемым завершением до 2040 года. Словакия активно ведет переговоры с Westinghouse (США) о межнациональном соглашении.</w:t>
      </w:r>
      <w:r w:rsidRPr="006545EF">
        <w:rPr>
          <w:rFonts w:asciiTheme="majorHAnsi" w:eastAsia="Google Sans Text" w:hAnsiTheme="majorHAnsi" w:cstheme="majorHAnsi"/>
          <w:color w:val="575B5F"/>
          <w:sz w:val="24"/>
          <w:szCs w:val="24"/>
          <w:vertAlign w:val="superscript"/>
        </w:rPr>
        <w:t>6</w:t>
      </w:r>
      <w:r w:rsidRPr="006545EF">
        <w:rPr>
          <w:rFonts w:asciiTheme="majorHAnsi" w:eastAsia="Google Sans Text" w:hAnsiTheme="majorHAnsi" w:cstheme="majorHAnsi"/>
          <w:color w:val="1B1C1D"/>
        </w:rPr>
        <w:t xml:space="preserve"> Важным шагом является успешная диверсификация ядерного топлива: заключены контракты с Westinghouse, Framatome и Urenco, что снижает зависимость от российских поставок.</w:t>
      </w:r>
      <w:r w:rsidRPr="006545EF">
        <w:rPr>
          <w:rFonts w:asciiTheme="majorHAnsi" w:eastAsia="Google Sans Text" w:hAnsiTheme="majorHAnsi" w:cstheme="majorHAnsi"/>
          <w:color w:val="575B5F"/>
          <w:sz w:val="24"/>
          <w:szCs w:val="24"/>
          <w:vertAlign w:val="superscript"/>
        </w:rPr>
        <w:t>6</w:t>
      </w:r>
    </w:p>
    <w:p w14:paraId="2A0F240F" w14:textId="77777777" w:rsidR="006545EF" w:rsidRPr="006545EF" w:rsidRDefault="00000000" w:rsidP="006545EF">
      <w:pPr>
        <w:pStyle w:val="4"/>
        <w:spacing w:before="0" w:after="120" w:line="275" w:lineRule="auto"/>
        <w:jc w:val="both"/>
        <w:rPr>
          <w:rFonts w:asciiTheme="majorHAnsi" w:eastAsia="Google Sans" w:hAnsiTheme="majorHAnsi" w:cstheme="majorHAnsi"/>
          <w:color w:val="1B1C1D"/>
        </w:rPr>
      </w:pPr>
      <w:r w:rsidRPr="006545EF">
        <w:rPr>
          <w:rFonts w:asciiTheme="majorHAnsi" w:eastAsia="Google Sans" w:hAnsiTheme="majorHAnsi" w:cstheme="majorHAnsi"/>
          <w:color w:val="1B1C1D"/>
        </w:rPr>
        <w:t>2.2. Юго-Восточная Европа: Финансовые Инструменты и LNP</w:t>
      </w:r>
    </w:p>
    <w:p w14:paraId="7D0DB9F2" w14:textId="4CA67CD0" w:rsidR="00447749"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b/>
          <w:color w:val="1B1C1D"/>
        </w:rPr>
        <w:t>Румыния:</w:t>
      </w:r>
      <w:r w:rsidRPr="006545EF">
        <w:rPr>
          <w:rFonts w:asciiTheme="majorHAnsi" w:eastAsia="Google Sans Text" w:hAnsiTheme="majorHAnsi" w:cstheme="majorHAnsi"/>
          <w:color w:val="1B1C1D"/>
        </w:rPr>
        <w:t xml:space="preserve"> Ядерная энергия обеспечивает около 22% энергобаланса страны, где работают два реактора CANDU.</w:t>
      </w:r>
      <w:r w:rsidRPr="006545EF">
        <w:rPr>
          <w:rFonts w:asciiTheme="majorHAnsi" w:eastAsia="Google Sans Text" w:hAnsiTheme="majorHAnsi" w:cstheme="majorHAnsi"/>
          <w:color w:val="575B5F"/>
          <w:sz w:val="24"/>
          <w:szCs w:val="24"/>
          <w:vertAlign w:val="superscript"/>
        </w:rPr>
        <w:t>7</w:t>
      </w:r>
      <w:r w:rsidRPr="006545EF">
        <w:rPr>
          <w:rFonts w:asciiTheme="majorHAnsi" w:eastAsia="Google Sans Text" w:hAnsiTheme="majorHAnsi" w:cstheme="majorHAnsi"/>
          <w:color w:val="1B1C1D"/>
        </w:rPr>
        <w:t xml:space="preserve"> Планы расширения АЭС Чернаводэ (еще два блока CANDU) требуют сложного финансового структурирования. Правительство использует сочетание зеленых облигаций, государственных займов, а также механизмов специальных целевых назначений (SPV) и контрактов на разницу (CfD) для привлечения инвестиций и снижения рисков.</w:t>
      </w:r>
      <w:r w:rsidRPr="006545EF">
        <w:rPr>
          <w:rFonts w:asciiTheme="majorHAnsi" w:eastAsia="Google Sans Text" w:hAnsiTheme="majorHAnsi" w:cstheme="majorHAnsi"/>
          <w:color w:val="575B5F"/>
          <w:sz w:val="24"/>
          <w:szCs w:val="24"/>
          <w:vertAlign w:val="superscript"/>
        </w:rPr>
        <w:t>1</w:t>
      </w:r>
    </w:p>
    <w:p w14:paraId="3CD84085" w14:textId="77777777" w:rsidR="006545EF"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b/>
          <w:color w:val="1B1C1D"/>
        </w:rPr>
        <w:t>Болгария:</w:t>
      </w:r>
      <w:r w:rsidRPr="006545EF">
        <w:rPr>
          <w:rFonts w:asciiTheme="majorHAnsi" w:eastAsia="Google Sans Text" w:hAnsiTheme="majorHAnsi" w:cstheme="majorHAnsi"/>
          <w:color w:val="1B1C1D"/>
        </w:rPr>
        <w:t xml:space="preserve"> Планирует строительство двух реакторов Westinghouse AP1000 на площадке Козлодуй. Болгария сделала ставку на привлечение западного финансового консалтинга, выбрав американскую банковскую группу Citi для координации финансирования.</w:t>
      </w:r>
      <w:r w:rsidRPr="006545EF">
        <w:rPr>
          <w:rFonts w:asciiTheme="majorHAnsi" w:eastAsia="Google Sans Text" w:hAnsiTheme="majorHAnsi" w:cstheme="majorHAnsi"/>
          <w:color w:val="575B5F"/>
          <w:sz w:val="24"/>
          <w:szCs w:val="24"/>
          <w:vertAlign w:val="superscript"/>
        </w:rPr>
        <w:t>8</w:t>
      </w:r>
      <w:r w:rsidRPr="006545EF">
        <w:rPr>
          <w:rFonts w:asciiTheme="majorHAnsi" w:eastAsia="Google Sans Text" w:hAnsiTheme="majorHAnsi" w:cstheme="majorHAnsi"/>
          <w:color w:val="1B1C1D"/>
        </w:rPr>
        <w:t xml:space="preserve"> Чиновники ожидают принять окончательное инвестиционное решение (FID) в 2026 году, при этом критически важно получить от консорциума, строящего AP1000, четкое предложение с «фиксированной ценой» </w:t>
      </w:r>
      <w:r w:rsidRPr="006545EF">
        <w:rPr>
          <w:rFonts w:asciiTheme="majorHAnsi" w:eastAsia="Google Sans Text" w:hAnsiTheme="majorHAnsi" w:cstheme="majorHAnsi"/>
          <w:color w:val="575B5F"/>
          <w:sz w:val="24"/>
          <w:szCs w:val="24"/>
          <w:vertAlign w:val="superscript"/>
        </w:rPr>
        <w:t>9</w:t>
      </w:r>
      <w:r w:rsidRPr="006545EF">
        <w:rPr>
          <w:rFonts w:asciiTheme="majorHAnsi" w:eastAsia="Google Sans Text" w:hAnsiTheme="majorHAnsi" w:cstheme="majorHAnsi"/>
          <w:color w:val="1B1C1D"/>
        </w:rPr>
        <w:t>, что является прямым ответом на региональные риски перерасхода средств.</w:t>
      </w:r>
    </w:p>
    <w:p w14:paraId="01736FAC" w14:textId="77777777" w:rsidR="006545EF" w:rsidRPr="006545EF" w:rsidRDefault="00000000" w:rsidP="006545EF">
      <w:pPr>
        <w:pStyle w:val="4"/>
        <w:spacing w:before="0" w:after="120" w:line="275" w:lineRule="auto"/>
        <w:jc w:val="both"/>
        <w:rPr>
          <w:rFonts w:asciiTheme="majorHAnsi" w:eastAsia="Google Sans" w:hAnsiTheme="majorHAnsi" w:cstheme="majorHAnsi"/>
          <w:color w:val="1B1C1D"/>
        </w:rPr>
      </w:pPr>
      <w:r w:rsidRPr="006545EF">
        <w:rPr>
          <w:rFonts w:asciiTheme="majorHAnsi" w:eastAsia="Google Sans" w:hAnsiTheme="majorHAnsi" w:cstheme="majorHAnsi"/>
          <w:color w:val="1B1C1D"/>
        </w:rPr>
        <w:t>2.3. Балтика и Евразия: SMR-фокус и Жизненный Цикл</w:t>
      </w:r>
    </w:p>
    <w:p w14:paraId="23919265" w14:textId="4F300D1A" w:rsidR="00447749"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b/>
          <w:color w:val="1B1C1D"/>
        </w:rPr>
        <w:t>Эстония:</w:t>
      </w:r>
      <w:r w:rsidRPr="006545EF">
        <w:rPr>
          <w:rFonts w:asciiTheme="majorHAnsi" w:eastAsia="Google Sans Text" w:hAnsiTheme="majorHAnsi" w:cstheme="majorHAnsi"/>
          <w:color w:val="1B1C1D"/>
        </w:rPr>
        <w:t xml:space="preserve"> Является одним из лидеров в области SMR-технологий. Партнерство между Fermi Energia и канадской Aecon направлено на разработку и внедрение реактора BWRX-300. Это сотрудничество использует опыт Aecon, полученный при строительстве первого BWRX-300 в странах G7, и нацелено на создание собственной квалифицированной ядерной промышленности и цепочки поставок в Эстонии. Стратегия SMR здесь является ключом к преодолению дефицита экспертов, который сдерживает крупные проекты.</w:t>
      </w:r>
      <w:r w:rsidRPr="006545EF">
        <w:rPr>
          <w:rFonts w:asciiTheme="majorHAnsi" w:eastAsia="Google Sans Text" w:hAnsiTheme="majorHAnsi" w:cstheme="majorHAnsi"/>
          <w:color w:val="575B5F"/>
          <w:sz w:val="24"/>
          <w:szCs w:val="24"/>
          <w:vertAlign w:val="superscript"/>
        </w:rPr>
        <w:t>10</w:t>
      </w:r>
    </w:p>
    <w:p w14:paraId="22A9F526" w14:textId="77777777" w:rsidR="00447749"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b/>
          <w:color w:val="1B1C1D"/>
        </w:rPr>
        <w:t>Литва и Латвия:</w:t>
      </w:r>
      <w:r w:rsidRPr="006545EF">
        <w:rPr>
          <w:rFonts w:asciiTheme="majorHAnsi" w:eastAsia="Google Sans Text" w:hAnsiTheme="majorHAnsi" w:cstheme="majorHAnsi"/>
          <w:color w:val="1B1C1D"/>
        </w:rPr>
        <w:t xml:space="preserve"> Находятся на стадии глубокого исследования SMR. Международное энергетическое агентство (IEA) рекомендовало Литве создать независимый ядерный координационный орган и адаптировать регуляторную и лицензионную базу для SMR. Это демонстрирует, что для стран, начинающих с нуля, приоритетом является не выбор вендора, а создание надлежащей правовой и организационной инфраструктуры, чтобы обеспечить принятие информированного решения.</w:t>
      </w:r>
      <w:r w:rsidRPr="006545EF">
        <w:rPr>
          <w:rFonts w:asciiTheme="majorHAnsi" w:eastAsia="Google Sans Text" w:hAnsiTheme="majorHAnsi" w:cstheme="majorHAnsi"/>
          <w:color w:val="575B5F"/>
          <w:sz w:val="24"/>
          <w:szCs w:val="24"/>
          <w:vertAlign w:val="superscript"/>
        </w:rPr>
        <w:t>11</w:t>
      </w:r>
    </w:p>
    <w:p w14:paraId="6D2E7F14" w14:textId="77777777" w:rsidR="00447749"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b/>
          <w:color w:val="1B1C1D"/>
        </w:rPr>
        <w:t>Сербия и Западные Балканы:</w:t>
      </w:r>
      <w:r w:rsidRPr="006545EF">
        <w:rPr>
          <w:rFonts w:asciiTheme="majorHAnsi" w:eastAsia="Google Sans Text" w:hAnsiTheme="majorHAnsi" w:cstheme="majorHAnsi"/>
          <w:color w:val="1B1C1D"/>
        </w:rPr>
        <w:t xml:space="preserve"> Сербия, в отличие от многих своих соседей по ЕС, только недавно </w:t>
      </w:r>
      <w:r w:rsidRPr="006545EF">
        <w:rPr>
          <w:rFonts w:asciiTheme="majorHAnsi" w:eastAsia="Google Sans Text" w:hAnsiTheme="majorHAnsi" w:cstheme="majorHAnsi"/>
          <w:color w:val="1B1C1D"/>
        </w:rPr>
        <w:lastRenderedPageBreak/>
        <w:t>отменила мораторий на атомную энергетику, действовавший с 1989 года. Этот стратегический сдвиг обусловлен прогнозируемым четырехкратным ростом потребления энергии к 2050 году.</w:t>
      </w:r>
      <w:r w:rsidRPr="006545EF">
        <w:rPr>
          <w:rFonts w:asciiTheme="majorHAnsi" w:eastAsia="Google Sans Text" w:hAnsiTheme="majorHAnsi" w:cstheme="majorHAnsi"/>
          <w:color w:val="575B5F"/>
          <w:sz w:val="24"/>
          <w:szCs w:val="24"/>
          <w:vertAlign w:val="superscript"/>
        </w:rPr>
        <w:t>1</w:t>
      </w:r>
      <w:r w:rsidRPr="006545EF">
        <w:rPr>
          <w:rFonts w:asciiTheme="majorHAnsi" w:eastAsia="Google Sans Text" w:hAnsiTheme="majorHAnsi" w:cstheme="majorHAnsi"/>
          <w:color w:val="1B1C1D"/>
        </w:rPr>
        <w:t xml:space="preserve"> Сербия ведет переговоры с несколькими ведущими мировыми игроками, включая Россию, Южную Корею и Францию, используя многовекторный подход для обеспечения наилучших условий. Остальные страны Западных Балкан (Босния и Герцеговина, Албания, Черногория, Молдова) в настоящее время фокусируются на возобновляемых источниках энергии и модернизации сетей.</w:t>
      </w:r>
      <w:r w:rsidRPr="006545EF">
        <w:rPr>
          <w:rFonts w:asciiTheme="majorHAnsi" w:eastAsia="Google Sans Text" w:hAnsiTheme="majorHAnsi" w:cstheme="majorHAnsi"/>
          <w:color w:val="575B5F"/>
          <w:sz w:val="24"/>
          <w:szCs w:val="24"/>
          <w:vertAlign w:val="superscript"/>
        </w:rPr>
        <w:t>12</w:t>
      </w:r>
    </w:p>
    <w:p w14:paraId="2BCE1F06" w14:textId="77777777" w:rsidR="00447749"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b/>
          <w:color w:val="1B1C1D"/>
        </w:rPr>
        <w:t>Армения и Грузия:</w:t>
      </w:r>
      <w:r w:rsidRPr="006545EF">
        <w:rPr>
          <w:rFonts w:asciiTheme="majorHAnsi" w:eastAsia="Google Sans Text" w:hAnsiTheme="majorHAnsi" w:cstheme="majorHAnsi"/>
          <w:color w:val="1B1C1D"/>
        </w:rPr>
        <w:t xml:space="preserve"> В Армении сохраняется зависимость от российских технологий для поддержания существующей инфраструктуры. Страна обсуждает с Россией возможность продления срока службы единственного действующего энергоблока АЭС «Мецамор» на 10 лет.</w:t>
      </w:r>
      <w:r w:rsidRPr="006545EF">
        <w:rPr>
          <w:rFonts w:asciiTheme="majorHAnsi" w:eastAsia="Google Sans Text" w:hAnsiTheme="majorHAnsi" w:cstheme="majorHAnsi"/>
          <w:color w:val="575B5F"/>
          <w:sz w:val="24"/>
          <w:szCs w:val="24"/>
          <w:vertAlign w:val="superscript"/>
        </w:rPr>
        <w:t>14</w:t>
      </w:r>
      <w:r w:rsidRPr="006545EF">
        <w:rPr>
          <w:rFonts w:asciiTheme="majorHAnsi" w:eastAsia="Google Sans Text" w:hAnsiTheme="majorHAnsi" w:cstheme="majorHAnsi"/>
          <w:color w:val="1B1C1D"/>
        </w:rPr>
        <w:t xml:space="preserve"> Грузия, согласно доступным данным, не обозначила ядерную энергетику центральным элементом своей энергетической стратегии на ближайший год.</w:t>
      </w:r>
      <w:r w:rsidRPr="006545EF">
        <w:rPr>
          <w:rFonts w:asciiTheme="majorHAnsi" w:eastAsia="Google Sans Text" w:hAnsiTheme="majorHAnsi" w:cstheme="majorHAnsi"/>
          <w:color w:val="575B5F"/>
          <w:sz w:val="24"/>
          <w:szCs w:val="24"/>
          <w:vertAlign w:val="superscript"/>
        </w:rPr>
        <w:t>15</w:t>
      </w:r>
    </w:p>
    <w:p w14:paraId="1D88ED4B" w14:textId="77777777" w:rsidR="00447749"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b/>
          <w:color w:val="1B1C1D"/>
        </w:rPr>
      </w:pPr>
      <w:r w:rsidRPr="006545EF">
        <w:rPr>
          <w:rFonts w:asciiTheme="majorHAnsi" w:eastAsia="Google Sans Text" w:hAnsiTheme="majorHAnsi" w:cstheme="majorHAnsi"/>
          <w:b/>
          <w:color w:val="1B1C1D"/>
        </w:rPr>
        <w:t>Таблица 1: Обзор Ключевых Ядерных Проектов в Восточной Европе (LNP и SMR)</w:t>
      </w:r>
    </w:p>
    <w:p w14:paraId="29040DFF" w14:textId="77777777" w:rsidR="00447749" w:rsidRPr="006545EF" w:rsidRDefault="00447749" w:rsidP="006545EF">
      <w:pPr>
        <w:pBdr>
          <w:top w:val="nil"/>
          <w:left w:val="nil"/>
          <w:bottom w:val="nil"/>
          <w:right w:val="nil"/>
          <w:between w:val="nil"/>
        </w:pBdr>
        <w:spacing w:line="275" w:lineRule="auto"/>
        <w:jc w:val="both"/>
        <w:rPr>
          <w:rFonts w:asciiTheme="majorHAnsi" w:eastAsia="Google Sans Text" w:hAnsiTheme="majorHAnsi" w:cstheme="majorHAnsi"/>
          <w:b/>
          <w:color w:val="1B1C1D"/>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38"/>
        <w:gridCol w:w="1337"/>
        <w:gridCol w:w="1337"/>
        <w:gridCol w:w="1337"/>
        <w:gridCol w:w="1337"/>
        <w:gridCol w:w="1337"/>
        <w:gridCol w:w="1337"/>
      </w:tblGrid>
      <w:tr w:rsidR="00447749" w:rsidRPr="006545EF" w14:paraId="5D6A0714" w14:textId="77777777">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99A883"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w:rsidRPr="006545EF">
              <w:rPr>
                <w:rFonts w:asciiTheme="majorHAnsi" w:eastAsia="Google Sans Text" w:hAnsiTheme="majorHAnsi" w:cstheme="majorHAnsi"/>
                <w:b/>
                <w:color w:val="1B1C1D"/>
              </w:rPr>
              <w:t>Страна</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E257E5"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w:rsidRPr="006545EF">
              <w:rPr>
                <w:rFonts w:asciiTheme="majorHAnsi" w:eastAsia="Google Sans Text" w:hAnsiTheme="majorHAnsi" w:cstheme="majorHAnsi"/>
                <w:b/>
                <w:color w:val="1B1C1D"/>
              </w:rPr>
              <w:t>Проект (Площадка)</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52CFC6"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w:rsidRPr="006545EF">
              <w:rPr>
                <w:rFonts w:asciiTheme="majorHAnsi" w:eastAsia="Google Sans Text" w:hAnsiTheme="majorHAnsi" w:cstheme="majorHAnsi"/>
                <w:b/>
                <w:color w:val="1B1C1D"/>
              </w:rPr>
              <w:t>Вендор/Технология</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F9A1D8"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w:rsidRPr="006545EF">
              <w:rPr>
                <w:rFonts w:asciiTheme="majorHAnsi" w:eastAsia="Google Sans Text" w:hAnsiTheme="majorHAnsi" w:cstheme="majorHAnsi"/>
                <w:b/>
                <w:color w:val="1B1C1D"/>
              </w:rPr>
              <w:t>Мощность (МВт, за Блок)</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C296D1"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w:rsidRPr="006545EF">
              <w:rPr>
                <w:rFonts w:asciiTheme="majorHAnsi" w:eastAsia="Google Sans Text" w:hAnsiTheme="majorHAnsi" w:cstheme="majorHAnsi"/>
                <w:b/>
                <w:color w:val="1B1C1D"/>
              </w:rPr>
              <w:t>Текущий Статус (2024–2025)</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207E02"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w:rsidRPr="006545EF">
              <w:rPr>
                <w:rFonts w:asciiTheme="majorHAnsi" w:eastAsia="Google Sans Text" w:hAnsiTheme="majorHAnsi" w:cstheme="majorHAnsi"/>
                <w:b/>
                <w:color w:val="1B1C1D"/>
              </w:rPr>
              <w:t>Оценочная Стоимость</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8EE167"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w:rsidRPr="006545EF">
              <w:rPr>
                <w:rFonts w:asciiTheme="majorHAnsi" w:eastAsia="Google Sans Text" w:hAnsiTheme="majorHAnsi" w:cstheme="majorHAnsi"/>
                <w:b/>
                <w:color w:val="1B1C1D"/>
              </w:rPr>
              <w:t>Сроки Комиссионирования</w:t>
            </w:r>
          </w:p>
        </w:tc>
      </w:tr>
      <w:tr w:rsidR="00447749" w:rsidRPr="006545EF" w14:paraId="4836AD99" w14:textId="77777777">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79E823A"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Польша (LNP)</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F6BD7E"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Померания</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D05D1E"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Westinghouse (AP1000)</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9139A3"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~1,250</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45D1813"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Переговоры о финансировании ЕС.</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2718678" w14:textId="77777777" w:rsidR="00447749" w:rsidRPr="006545EF" w:rsidRDefault="00000000" w:rsidP="006545EF">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 xml:space="preserve">&gt;$30 Миллиардов (3 блока) </w:t>
            </w:r>
            <w:r w:rsidRPr="006545EF">
              <w:rPr>
                <w:rFonts w:asciiTheme="majorHAnsi" w:eastAsia="Google Sans Text" w:hAnsiTheme="majorHAnsi" w:cstheme="majorHAnsi"/>
                <w:color w:val="575B5F"/>
                <w:sz w:val="24"/>
                <w:szCs w:val="24"/>
                <w:vertAlign w:val="superscript"/>
              </w:rPr>
              <w:t>1</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8405CD9" w14:textId="77777777" w:rsidR="00447749" w:rsidRPr="006545EF" w:rsidRDefault="00000000" w:rsidP="006545EF">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 xml:space="preserve">Около 2036 года </w:t>
            </w:r>
            <w:r w:rsidRPr="006545EF">
              <w:rPr>
                <w:rFonts w:asciiTheme="majorHAnsi" w:eastAsia="Google Sans Text" w:hAnsiTheme="majorHAnsi" w:cstheme="majorHAnsi"/>
                <w:color w:val="575B5F"/>
                <w:sz w:val="24"/>
                <w:szCs w:val="24"/>
                <w:vertAlign w:val="superscript"/>
              </w:rPr>
              <w:t>2</w:t>
            </w:r>
          </w:p>
        </w:tc>
      </w:tr>
      <w:tr w:rsidR="00447749" w:rsidRPr="006545EF" w14:paraId="3F882B50" w14:textId="77777777">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AEAC55"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Польша (SMR)</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C162C57"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Włocławek</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9B0025D"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GEH (BWRX-300)</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0576DE5"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300</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1FC84E"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Выбрана первая площадка.</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541134"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TBD</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24F2EC" w14:textId="77777777" w:rsidR="00447749" w:rsidRPr="006545EF" w:rsidRDefault="00000000" w:rsidP="006545EF">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 xml:space="preserve">К 2035 году (600 МВт) </w:t>
            </w:r>
            <w:r w:rsidRPr="006545EF">
              <w:rPr>
                <w:rFonts w:asciiTheme="majorHAnsi" w:eastAsia="Google Sans Text" w:hAnsiTheme="majorHAnsi" w:cstheme="majorHAnsi"/>
                <w:color w:val="575B5F"/>
                <w:sz w:val="24"/>
                <w:szCs w:val="24"/>
                <w:vertAlign w:val="superscript"/>
              </w:rPr>
              <w:t>3</w:t>
            </w:r>
          </w:p>
        </w:tc>
      </w:tr>
      <w:tr w:rsidR="00447749" w:rsidRPr="006545EF" w14:paraId="17439B98" w14:textId="77777777">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5F28543"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Чехия</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EF3614"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Дукованы V (Блок 5)</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FA75D5"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Тендер (TBD)</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5873AAD"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~1,200</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E2F7EF"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90% госфинансирования.</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14E53AF" w14:textId="77777777" w:rsidR="00447749" w:rsidRPr="006545EF" w:rsidRDefault="00000000" w:rsidP="006545EF">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 xml:space="preserve">~€8 Миллиардов (за блок) </w:t>
            </w:r>
            <w:r w:rsidRPr="006545EF">
              <w:rPr>
                <w:rFonts w:asciiTheme="majorHAnsi" w:eastAsia="Google Sans Text" w:hAnsiTheme="majorHAnsi" w:cstheme="majorHAnsi"/>
                <w:color w:val="575B5F"/>
                <w:sz w:val="24"/>
                <w:szCs w:val="24"/>
                <w:vertAlign w:val="superscript"/>
              </w:rPr>
              <w:t>4</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4ED1B79" w14:textId="77777777" w:rsidR="00447749" w:rsidRPr="006545EF" w:rsidRDefault="00000000" w:rsidP="006545EF">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 xml:space="preserve">2036 год </w:t>
            </w:r>
            <w:r w:rsidRPr="006545EF">
              <w:rPr>
                <w:rFonts w:asciiTheme="majorHAnsi" w:eastAsia="Google Sans Text" w:hAnsiTheme="majorHAnsi" w:cstheme="majorHAnsi"/>
                <w:color w:val="575B5F"/>
                <w:sz w:val="24"/>
                <w:szCs w:val="24"/>
                <w:vertAlign w:val="superscript"/>
              </w:rPr>
              <w:t>4</w:t>
            </w:r>
          </w:p>
        </w:tc>
      </w:tr>
      <w:tr w:rsidR="00447749" w:rsidRPr="006545EF" w14:paraId="0317EA18" w14:textId="77777777">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B4D742"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Венгрия</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B2CBEE"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 xml:space="preserve">Пакш II </w:t>
            </w:r>
            <w:r w:rsidRPr="006545EF">
              <w:rPr>
                <w:rFonts w:asciiTheme="majorHAnsi" w:eastAsia="Google Sans Text" w:hAnsiTheme="majorHAnsi" w:cstheme="majorHAnsi"/>
                <w:color w:val="1B1C1D"/>
              </w:rPr>
              <w:lastRenderedPageBreak/>
              <w:t>(Блок 5/6)</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94631D7"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lastRenderedPageBreak/>
              <w:t>Росатом (ВВЭР-</w:t>
            </w:r>
            <w:r w:rsidRPr="006545EF">
              <w:rPr>
                <w:rFonts w:asciiTheme="majorHAnsi" w:eastAsia="Google Sans Text" w:hAnsiTheme="majorHAnsi" w:cstheme="majorHAnsi"/>
                <w:color w:val="1B1C1D"/>
              </w:rPr>
              <w:lastRenderedPageBreak/>
              <w:t>1200)</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F2F0C6"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lastRenderedPageBreak/>
              <w:t>1,200</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70BDCCF" w14:textId="77777777" w:rsidR="00447749" w:rsidRPr="006545EF" w:rsidRDefault="00000000" w:rsidP="006545EF">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 xml:space="preserve">Аннулирование </w:t>
            </w:r>
            <w:r w:rsidRPr="006545EF">
              <w:rPr>
                <w:rFonts w:asciiTheme="majorHAnsi" w:eastAsia="Google Sans Text" w:hAnsiTheme="majorHAnsi" w:cstheme="majorHAnsi"/>
                <w:color w:val="1B1C1D"/>
              </w:rPr>
              <w:lastRenderedPageBreak/>
              <w:t>одобрения ЕС на госпомощь.</w:t>
            </w:r>
            <w:r w:rsidRPr="006545EF">
              <w:rPr>
                <w:rFonts w:asciiTheme="majorHAnsi" w:eastAsia="Google Sans Text" w:hAnsiTheme="majorHAnsi" w:cstheme="majorHAnsi"/>
                <w:color w:val="575B5F"/>
                <w:sz w:val="24"/>
                <w:szCs w:val="24"/>
                <w:vertAlign w:val="superscript"/>
              </w:rPr>
              <w:t>5</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22B4DD"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lastRenderedPageBreak/>
              <w:t xml:space="preserve">Финансируется </w:t>
            </w:r>
            <w:r w:rsidRPr="006545EF">
              <w:rPr>
                <w:rFonts w:asciiTheme="majorHAnsi" w:eastAsia="Google Sans Text" w:hAnsiTheme="majorHAnsi" w:cstheme="majorHAnsi"/>
                <w:color w:val="1B1C1D"/>
              </w:rPr>
              <w:lastRenderedPageBreak/>
              <w:t>Россией</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813697" w14:textId="77777777" w:rsidR="00447749" w:rsidRPr="006545EF" w:rsidRDefault="00000000" w:rsidP="006545EF">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lastRenderedPageBreak/>
              <w:t xml:space="preserve">Дальнейшие </w:t>
            </w:r>
            <w:r w:rsidRPr="006545EF">
              <w:rPr>
                <w:rFonts w:asciiTheme="majorHAnsi" w:eastAsia="Google Sans Text" w:hAnsiTheme="majorHAnsi" w:cstheme="majorHAnsi"/>
                <w:color w:val="1B1C1D"/>
              </w:rPr>
              <w:lastRenderedPageBreak/>
              <w:t xml:space="preserve">задержки </w:t>
            </w:r>
            <w:r w:rsidRPr="006545EF">
              <w:rPr>
                <w:rFonts w:asciiTheme="majorHAnsi" w:eastAsia="Google Sans Text" w:hAnsiTheme="majorHAnsi" w:cstheme="majorHAnsi"/>
                <w:color w:val="575B5F"/>
                <w:sz w:val="24"/>
                <w:szCs w:val="24"/>
                <w:vertAlign w:val="superscript"/>
              </w:rPr>
              <w:t>5</w:t>
            </w:r>
          </w:p>
        </w:tc>
      </w:tr>
      <w:tr w:rsidR="00447749" w:rsidRPr="006545EF" w14:paraId="79D66265" w14:textId="77777777">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77C46C7"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lastRenderedPageBreak/>
              <w:t>Словакия</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B412A5"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Богунице (Новый Блок)</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3BFFF5"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TBD (Westinghouse, Ю. Корея, Франция)</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0D746CC"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~1,200</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C3F66C" w14:textId="77777777" w:rsidR="00447749" w:rsidRPr="006545EF" w:rsidRDefault="00000000" w:rsidP="006545EF">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Одобрен проект. Ведутся переговоры с Westinghouse.</w:t>
            </w:r>
            <w:r w:rsidRPr="006545EF">
              <w:rPr>
                <w:rFonts w:asciiTheme="majorHAnsi" w:eastAsia="Google Sans Text" w:hAnsiTheme="majorHAnsi" w:cstheme="majorHAnsi"/>
                <w:color w:val="575B5F"/>
                <w:sz w:val="24"/>
                <w:szCs w:val="24"/>
                <w:vertAlign w:val="superscript"/>
              </w:rPr>
              <w:t>6</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D15FCF" w14:textId="77777777" w:rsidR="00447749" w:rsidRPr="006545EF" w:rsidRDefault="00000000" w:rsidP="006545EF">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 xml:space="preserve">€10 – €15 Миллиардов </w:t>
            </w:r>
            <w:r w:rsidRPr="006545EF">
              <w:rPr>
                <w:rFonts w:asciiTheme="majorHAnsi" w:eastAsia="Google Sans Text" w:hAnsiTheme="majorHAnsi" w:cstheme="majorHAnsi"/>
                <w:color w:val="575B5F"/>
                <w:sz w:val="24"/>
                <w:szCs w:val="24"/>
                <w:vertAlign w:val="superscript"/>
              </w:rPr>
              <w:t>6</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55421E" w14:textId="77777777" w:rsidR="00447749" w:rsidRPr="006545EF" w:rsidRDefault="00000000" w:rsidP="006545EF">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 xml:space="preserve">До 2040 года </w:t>
            </w:r>
            <w:r w:rsidRPr="006545EF">
              <w:rPr>
                <w:rFonts w:asciiTheme="majorHAnsi" w:eastAsia="Google Sans Text" w:hAnsiTheme="majorHAnsi" w:cstheme="majorHAnsi"/>
                <w:color w:val="575B5F"/>
                <w:sz w:val="24"/>
                <w:szCs w:val="24"/>
                <w:vertAlign w:val="superscript"/>
              </w:rPr>
              <w:t>6</w:t>
            </w:r>
          </w:p>
        </w:tc>
      </w:tr>
      <w:tr w:rsidR="00447749" w:rsidRPr="006545EF" w14:paraId="6945A130" w14:textId="77777777">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89B34E"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Болгария</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B07F7E"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Козлодуй (Блок 7/8)</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17DB8A"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Westinghouse (AP1000)</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4E2403"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~1,150</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5C849A0"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Привлечен Citi для финансирования.</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FBD645A" w14:textId="77777777" w:rsidR="00447749" w:rsidRPr="006545EF" w:rsidRDefault="00000000" w:rsidP="006545EF">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 xml:space="preserve">TBD (Требуют фиксированную цену) </w:t>
            </w:r>
            <w:r w:rsidRPr="006545EF">
              <w:rPr>
                <w:rFonts w:asciiTheme="majorHAnsi" w:eastAsia="Google Sans Text" w:hAnsiTheme="majorHAnsi" w:cstheme="majorHAnsi"/>
                <w:color w:val="575B5F"/>
                <w:sz w:val="24"/>
                <w:szCs w:val="24"/>
                <w:vertAlign w:val="superscript"/>
              </w:rPr>
              <w:t>9</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BFB9BF" w14:textId="77777777" w:rsidR="00447749" w:rsidRPr="006545EF" w:rsidRDefault="00000000" w:rsidP="006545EF">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 xml:space="preserve">Ожидается FID в 2026 г. </w:t>
            </w:r>
            <w:r w:rsidRPr="006545EF">
              <w:rPr>
                <w:rFonts w:asciiTheme="majorHAnsi" w:eastAsia="Google Sans Text" w:hAnsiTheme="majorHAnsi" w:cstheme="majorHAnsi"/>
                <w:color w:val="575B5F"/>
                <w:sz w:val="24"/>
                <w:szCs w:val="24"/>
                <w:vertAlign w:val="superscript"/>
              </w:rPr>
              <w:t>9</w:t>
            </w:r>
          </w:p>
        </w:tc>
      </w:tr>
      <w:tr w:rsidR="00447749" w:rsidRPr="006545EF" w14:paraId="76E6F5F2" w14:textId="77777777">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458F3F"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Румыния</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A953171"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Чернаводэ (Блок 3/4)</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966F73"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CANDU 6</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3E7FD7"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720</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BB5EFA"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Разрабатываются механизмы CfD и госпомощи.</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379109"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TBD</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C3D59E" w14:textId="77777777" w:rsidR="00447749" w:rsidRPr="006545EF" w:rsidRDefault="00000000" w:rsidP="006545EF">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 xml:space="preserve">TBD </w:t>
            </w:r>
            <w:r w:rsidRPr="006545EF">
              <w:rPr>
                <w:rFonts w:asciiTheme="majorHAnsi" w:eastAsia="Google Sans Text" w:hAnsiTheme="majorHAnsi" w:cstheme="majorHAnsi"/>
                <w:color w:val="575B5F"/>
                <w:sz w:val="24"/>
                <w:szCs w:val="24"/>
                <w:vertAlign w:val="superscript"/>
              </w:rPr>
              <w:t>7</w:t>
            </w:r>
          </w:p>
        </w:tc>
      </w:tr>
      <w:tr w:rsidR="00447749" w:rsidRPr="006545EF" w14:paraId="0EE84FF3" w14:textId="77777777">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76462B"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Эстония (SMR)</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56E9FD5"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TBD</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F6A1C5"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GEH (BWRX-300)</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A8D1EB"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300</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89E590" w14:textId="77777777" w:rsidR="00447749" w:rsidRPr="006545EF" w:rsidRDefault="00000000" w:rsidP="006545EF">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Сотрудничество с Aecon (Канада).</w:t>
            </w:r>
            <w:r w:rsidRPr="006545EF">
              <w:rPr>
                <w:rFonts w:asciiTheme="majorHAnsi" w:eastAsia="Google Sans Text" w:hAnsiTheme="majorHAnsi" w:cstheme="majorHAnsi"/>
                <w:color w:val="575B5F"/>
                <w:sz w:val="24"/>
                <w:szCs w:val="24"/>
                <w:vertAlign w:val="superscript"/>
              </w:rPr>
              <w:t>10</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3879D7" w14:textId="77777777" w:rsidR="00447749" w:rsidRPr="006545EF" w:rsidRDefault="00000000" w:rsidP="006545EF">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TBD</w:t>
            </w:r>
          </w:p>
        </w:tc>
        <w:tc>
          <w:tcPr>
            <w:tcW w:w="133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A6ED3F" w14:textId="77777777" w:rsidR="00447749" w:rsidRPr="006545EF" w:rsidRDefault="00000000" w:rsidP="006545EF">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 xml:space="preserve">Ожидаемый запуск к началу 2030-х </w:t>
            </w:r>
            <w:r w:rsidRPr="006545EF">
              <w:rPr>
                <w:rFonts w:asciiTheme="majorHAnsi" w:eastAsia="Google Sans Text" w:hAnsiTheme="majorHAnsi" w:cstheme="majorHAnsi"/>
                <w:color w:val="575B5F"/>
                <w:sz w:val="24"/>
                <w:szCs w:val="24"/>
                <w:vertAlign w:val="superscript"/>
              </w:rPr>
              <w:t>13</w:t>
            </w:r>
          </w:p>
        </w:tc>
      </w:tr>
    </w:tbl>
    <w:p w14:paraId="014FCA63" w14:textId="77777777" w:rsidR="00447749" w:rsidRPr="006545EF" w:rsidRDefault="00447749" w:rsidP="006545EF">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p>
    <w:p w14:paraId="30B3F778" w14:textId="77777777" w:rsidR="006545EF" w:rsidRPr="006545EF" w:rsidRDefault="00000000" w:rsidP="006545EF">
      <w:pPr>
        <w:pStyle w:val="3"/>
        <w:spacing w:before="0" w:after="120" w:line="275" w:lineRule="auto"/>
        <w:jc w:val="both"/>
        <w:rPr>
          <w:rFonts w:asciiTheme="majorHAnsi" w:eastAsia="Google Sans" w:hAnsiTheme="majorHAnsi" w:cstheme="majorHAnsi"/>
          <w:color w:val="1B1C1D"/>
        </w:rPr>
      </w:pPr>
      <w:bookmarkStart w:id="2" w:name="_Toc210595454"/>
      <w:r w:rsidRPr="006545EF">
        <w:rPr>
          <w:rFonts w:asciiTheme="majorHAnsi" w:eastAsia="Google Sans" w:hAnsiTheme="majorHAnsi" w:cstheme="majorHAnsi"/>
          <w:color w:val="1B1C1D"/>
        </w:rPr>
        <w:t>III. ФИНАНСИРОВАНИЕ, СТОИМОСТЬ И СЛОЖНОСТИ: АНАЛИЗ БАРЬЕРОВ</w:t>
      </w:r>
      <w:bookmarkEnd w:id="2"/>
    </w:p>
    <w:p w14:paraId="5215EE13" w14:textId="0C8DA307" w:rsidR="006545EF" w:rsidRPr="006545EF" w:rsidRDefault="00000000" w:rsidP="006545EF">
      <w:pPr>
        <w:pStyle w:val="4"/>
        <w:spacing w:before="0" w:after="120" w:line="275" w:lineRule="auto"/>
        <w:jc w:val="both"/>
        <w:rPr>
          <w:rFonts w:asciiTheme="majorHAnsi" w:eastAsia="Google Sans" w:hAnsiTheme="majorHAnsi" w:cstheme="majorHAnsi"/>
          <w:color w:val="1B1C1D"/>
        </w:rPr>
      </w:pPr>
      <w:r w:rsidRPr="006545EF">
        <w:rPr>
          <w:rFonts w:asciiTheme="majorHAnsi" w:eastAsia="Google Sans" w:hAnsiTheme="majorHAnsi" w:cstheme="majorHAnsi"/>
          <w:color w:val="1B1C1D"/>
        </w:rPr>
        <w:t>3.1. Системные Риски Капитальных Затрат и Финансовые Модели</w:t>
      </w:r>
    </w:p>
    <w:p w14:paraId="0484AD32" w14:textId="284AA12C" w:rsidR="00447749"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Критическая проблема, сдерживающая развитие атомной энергетики в Восточной Европе, заключается в высоких капитальных затратах (CAPEX), длительных сроках строительства и риске перерасхода средств. Эти факторы делают ядерную энергетику более сложным инвестиционным продуктом по сравнению с ветряной и солнечной.</w:t>
      </w:r>
      <w:r w:rsidRPr="006545EF">
        <w:rPr>
          <w:rFonts w:asciiTheme="majorHAnsi" w:eastAsia="Google Sans Text" w:hAnsiTheme="majorHAnsi" w:cstheme="majorHAnsi"/>
          <w:color w:val="575B5F"/>
          <w:sz w:val="24"/>
          <w:szCs w:val="24"/>
          <w:vertAlign w:val="superscript"/>
        </w:rPr>
        <w:t>7</w:t>
      </w:r>
      <w:r w:rsidRPr="006545EF">
        <w:rPr>
          <w:rFonts w:asciiTheme="majorHAnsi" w:eastAsia="Google Sans Text" w:hAnsiTheme="majorHAnsi" w:cstheme="majorHAnsi"/>
          <w:color w:val="1B1C1D"/>
        </w:rPr>
        <w:t xml:space="preserve"> Региональный прецедент Моховце, где </w:t>
      </w:r>
      <w:r w:rsidRPr="006545EF">
        <w:rPr>
          <w:rFonts w:asciiTheme="majorHAnsi" w:eastAsia="Google Sans Text" w:hAnsiTheme="majorHAnsi" w:cstheme="majorHAnsi"/>
          <w:color w:val="1B1C1D"/>
        </w:rPr>
        <w:lastRenderedPageBreak/>
        <w:t xml:space="preserve">строительство заняло на десять лет больше, а стоимость выросла вдвое </w:t>
      </w:r>
      <w:r w:rsidRPr="006545EF">
        <w:rPr>
          <w:rFonts w:asciiTheme="majorHAnsi" w:eastAsia="Google Sans Text" w:hAnsiTheme="majorHAnsi" w:cstheme="majorHAnsi"/>
          <w:color w:val="575B5F"/>
          <w:sz w:val="24"/>
          <w:szCs w:val="24"/>
          <w:vertAlign w:val="superscript"/>
        </w:rPr>
        <w:t>1</w:t>
      </w:r>
      <w:r w:rsidRPr="006545EF">
        <w:rPr>
          <w:rFonts w:asciiTheme="majorHAnsi" w:eastAsia="Google Sans Text" w:hAnsiTheme="majorHAnsi" w:cstheme="majorHAnsi"/>
          <w:color w:val="1B1C1D"/>
        </w:rPr>
        <w:t>, усиливает опасения инвесторов.</w:t>
      </w:r>
    </w:p>
    <w:p w14:paraId="70F50099" w14:textId="77777777" w:rsidR="00447749" w:rsidRPr="006545EF" w:rsidRDefault="00000000" w:rsidP="006545EF">
      <w:pPr>
        <w:pBdr>
          <w:top w:val="nil"/>
          <w:left w:val="nil"/>
          <w:bottom w:val="nil"/>
          <w:right w:val="nil"/>
          <w:between w:val="nil"/>
        </w:pBdr>
        <w:spacing w:after="120"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Для преодоления этих рисков и обеспечения предсказуемости денежных потоков правительства вынуждены внедрять сложные механизмы государственной поддержки, которые имеют решающее значение для привлечения частного капитала.</w:t>
      </w:r>
      <w:r w:rsidRPr="006545EF">
        <w:rPr>
          <w:rFonts w:asciiTheme="majorHAnsi" w:eastAsia="Google Sans Text" w:hAnsiTheme="majorHAnsi" w:cstheme="majorHAnsi"/>
          <w:color w:val="575B5F"/>
          <w:sz w:val="24"/>
          <w:szCs w:val="24"/>
          <w:vertAlign w:val="superscript"/>
        </w:rPr>
        <w:t>17</w:t>
      </w:r>
    </w:p>
    <w:p w14:paraId="0224D895" w14:textId="77777777" w:rsidR="00447749" w:rsidRPr="006545EF" w:rsidRDefault="00000000" w:rsidP="006545EF">
      <w:pPr>
        <w:numPr>
          <w:ilvl w:val="0"/>
          <w:numId w:val="2"/>
        </w:numPr>
        <w:pBdr>
          <w:top w:val="nil"/>
          <w:left w:val="nil"/>
          <w:bottom w:val="nil"/>
          <w:right w:val="nil"/>
          <w:between w:val="nil"/>
        </w:pBdr>
        <w:spacing w:line="275" w:lineRule="auto"/>
        <w:jc w:val="both"/>
        <w:rPr>
          <w:rFonts w:asciiTheme="majorHAnsi" w:hAnsiTheme="majorHAnsi" w:cstheme="majorHAnsi"/>
        </w:rPr>
      </w:pPr>
      <w:r w:rsidRPr="006545EF">
        <w:rPr>
          <w:rFonts w:asciiTheme="majorHAnsi" w:eastAsia="Google Sans Text" w:hAnsiTheme="majorHAnsi" w:cstheme="majorHAnsi"/>
          <w:b/>
          <w:color w:val="1B1C1D"/>
        </w:rPr>
        <w:t>Контракты на Разницу (CfD):</w:t>
      </w:r>
      <w:r w:rsidRPr="006545EF">
        <w:rPr>
          <w:rFonts w:asciiTheme="majorHAnsi" w:eastAsia="Google Sans Text" w:hAnsiTheme="majorHAnsi" w:cstheme="majorHAnsi"/>
          <w:color w:val="1B1C1D"/>
        </w:rPr>
        <w:t xml:space="preserve"> Рассматриваемые Польшей и Румынией, эти контракты гарантируют минимальную цену на электроэнергию, снижая рыночный риск и обеспечивая стабильность, необходимую для привлечения банковского финансирования.</w:t>
      </w:r>
      <w:r w:rsidRPr="006545EF">
        <w:rPr>
          <w:rFonts w:asciiTheme="majorHAnsi" w:eastAsia="Google Sans Text" w:hAnsiTheme="majorHAnsi" w:cstheme="majorHAnsi"/>
          <w:color w:val="575B5F"/>
          <w:sz w:val="24"/>
          <w:szCs w:val="24"/>
          <w:vertAlign w:val="superscript"/>
        </w:rPr>
        <w:t>1</w:t>
      </w:r>
    </w:p>
    <w:p w14:paraId="5A958E4A" w14:textId="77777777" w:rsidR="00447749" w:rsidRPr="006545EF" w:rsidRDefault="00000000" w:rsidP="006545EF">
      <w:pPr>
        <w:numPr>
          <w:ilvl w:val="0"/>
          <w:numId w:val="2"/>
        </w:numPr>
        <w:pBdr>
          <w:top w:val="nil"/>
          <w:left w:val="nil"/>
          <w:bottom w:val="nil"/>
          <w:right w:val="nil"/>
          <w:between w:val="nil"/>
        </w:pBdr>
        <w:spacing w:line="275" w:lineRule="auto"/>
        <w:jc w:val="both"/>
        <w:rPr>
          <w:rFonts w:asciiTheme="majorHAnsi" w:hAnsiTheme="majorHAnsi" w:cstheme="majorHAnsi"/>
        </w:rPr>
      </w:pPr>
      <w:r w:rsidRPr="006545EF">
        <w:rPr>
          <w:rFonts w:asciiTheme="majorHAnsi" w:eastAsia="Google Sans Text" w:hAnsiTheme="majorHAnsi" w:cstheme="majorHAnsi"/>
          <w:b/>
          <w:color w:val="1B1C1D"/>
        </w:rPr>
        <w:t>Государственные Займы:</w:t>
      </w:r>
      <w:r w:rsidRPr="006545EF">
        <w:rPr>
          <w:rFonts w:asciiTheme="majorHAnsi" w:eastAsia="Google Sans Text" w:hAnsiTheme="majorHAnsi" w:cstheme="majorHAnsi"/>
          <w:color w:val="1B1C1D"/>
        </w:rPr>
        <w:t xml:space="preserve"> Чехия полагается на государственные займы для покрытия подавляющей части расходов (90%).</w:t>
      </w:r>
      <w:r w:rsidRPr="006545EF">
        <w:rPr>
          <w:rFonts w:asciiTheme="majorHAnsi" w:eastAsia="Google Sans Text" w:hAnsiTheme="majorHAnsi" w:cstheme="majorHAnsi"/>
          <w:color w:val="575B5F"/>
          <w:sz w:val="24"/>
          <w:szCs w:val="24"/>
          <w:vertAlign w:val="superscript"/>
        </w:rPr>
        <w:t>1</w:t>
      </w:r>
    </w:p>
    <w:p w14:paraId="368095A3" w14:textId="77777777" w:rsidR="00447749" w:rsidRPr="006545EF" w:rsidRDefault="00000000" w:rsidP="006545EF">
      <w:pPr>
        <w:numPr>
          <w:ilvl w:val="0"/>
          <w:numId w:val="2"/>
        </w:numPr>
        <w:pBdr>
          <w:top w:val="nil"/>
          <w:left w:val="nil"/>
          <w:bottom w:val="nil"/>
          <w:right w:val="nil"/>
          <w:between w:val="nil"/>
        </w:pBdr>
        <w:spacing w:line="275" w:lineRule="auto"/>
        <w:jc w:val="both"/>
        <w:rPr>
          <w:rFonts w:asciiTheme="majorHAnsi" w:hAnsiTheme="majorHAnsi" w:cstheme="majorHAnsi"/>
        </w:rPr>
      </w:pPr>
      <w:r w:rsidRPr="006545EF">
        <w:rPr>
          <w:rFonts w:asciiTheme="majorHAnsi" w:eastAsia="Google Sans Text" w:hAnsiTheme="majorHAnsi" w:cstheme="majorHAnsi"/>
          <w:b/>
          <w:color w:val="1B1C1D"/>
        </w:rPr>
        <w:t>Привлечение Западного Финансового Консалтинга:</w:t>
      </w:r>
      <w:r w:rsidRPr="006545EF">
        <w:rPr>
          <w:rFonts w:asciiTheme="majorHAnsi" w:eastAsia="Google Sans Text" w:hAnsiTheme="majorHAnsi" w:cstheme="majorHAnsi"/>
          <w:color w:val="1B1C1D"/>
        </w:rPr>
        <w:t xml:space="preserve"> Использование Болгарией услуг Citi для структурирования проекта AP1000 наглядно демонстрирует переход к сложным международным моделям, где технический выбор вендора тесно связан с привлечением западного капитала и экспертизы.</w:t>
      </w:r>
      <w:r w:rsidRPr="006545EF">
        <w:rPr>
          <w:rFonts w:asciiTheme="majorHAnsi" w:eastAsia="Google Sans Text" w:hAnsiTheme="majorHAnsi" w:cstheme="majorHAnsi"/>
          <w:color w:val="575B5F"/>
          <w:sz w:val="24"/>
          <w:szCs w:val="24"/>
          <w:vertAlign w:val="superscript"/>
        </w:rPr>
        <w:t>8</w:t>
      </w:r>
    </w:p>
    <w:p w14:paraId="7A0BB4A2" w14:textId="77777777" w:rsidR="006545EF" w:rsidRPr="006545EF" w:rsidRDefault="00000000" w:rsidP="006545EF">
      <w:pPr>
        <w:numPr>
          <w:ilvl w:val="0"/>
          <w:numId w:val="2"/>
        </w:numPr>
        <w:pBdr>
          <w:top w:val="nil"/>
          <w:left w:val="nil"/>
          <w:bottom w:val="nil"/>
          <w:right w:val="nil"/>
          <w:between w:val="nil"/>
        </w:pBdr>
        <w:spacing w:after="120" w:line="275" w:lineRule="auto"/>
        <w:jc w:val="both"/>
        <w:rPr>
          <w:rFonts w:asciiTheme="majorHAnsi" w:hAnsiTheme="majorHAnsi" w:cstheme="majorHAnsi"/>
        </w:rPr>
      </w:pPr>
      <w:r w:rsidRPr="006545EF">
        <w:rPr>
          <w:rFonts w:asciiTheme="majorHAnsi" w:eastAsia="Google Sans Text" w:hAnsiTheme="majorHAnsi" w:cstheme="majorHAnsi"/>
          <w:b/>
          <w:color w:val="1B1C1D"/>
        </w:rPr>
        <w:t>Новый Капитал:</w:t>
      </w:r>
      <w:r w:rsidRPr="006545EF">
        <w:rPr>
          <w:rFonts w:asciiTheme="majorHAnsi" w:eastAsia="Google Sans Text" w:hAnsiTheme="majorHAnsi" w:cstheme="majorHAnsi"/>
          <w:color w:val="1B1C1D"/>
        </w:rPr>
        <w:t xml:space="preserve"> Появляется новый класс потенциальных инвесторов: технологические компании и операторы дата-центров, которые ищут стабильные, низкоуглеродные источники энергии для обеспечения работы ИИ. Их интерес может привести к заключению долгосрочных PPA (Power Purchase Agreements), обеспечивая дополнительную альтернативу государственным гарантиям.</w:t>
      </w:r>
      <w:r w:rsidRPr="006545EF">
        <w:rPr>
          <w:rFonts w:asciiTheme="majorHAnsi" w:eastAsia="Google Sans Text" w:hAnsiTheme="majorHAnsi" w:cstheme="majorHAnsi"/>
          <w:color w:val="575B5F"/>
          <w:sz w:val="24"/>
          <w:szCs w:val="24"/>
          <w:vertAlign w:val="superscript"/>
        </w:rPr>
        <w:t>16</w:t>
      </w:r>
    </w:p>
    <w:p w14:paraId="40EAC445" w14:textId="77777777" w:rsidR="006545EF" w:rsidRPr="006545EF" w:rsidRDefault="00000000" w:rsidP="006545EF">
      <w:pPr>
        <w:pStyle w:val="4"/>
        <w:spacing w:before="0" w:after="120" w:line="275" w:lineRule="auto"/>
        <w:jc w:val="both"/>
        <w:rPr>
          <w:rFonts w:asciiTheme="majorHAnsi" w:eastAsia="Google Sans" w:hAnsiTheme="majorHAnsi" w:cstheme="majorHAnsi"/>
          <w:color w:val="1B1C1D"/>
        </w:rPr>
      </w:pPr>
      <w:r w:rsidRPr="006545EF">
        <w:rPr>
          <w:rFonts w:asciiTheme="majorHAnsi" w:eastAsia="Google Sans" w:hAnsiTheme="majorHAnsi" w:cstheme="majorHAnsi"/>
          <w:color w:val="1B1C1D"/>
        </w:rPr>
        <w:t>3.2. Регуляторные, Кадровые и Геополитические Барьеры</w:t>
      </w:r>
    </w:p>
    <w:p w14:paraId="68AD3CD3" w14:textId="2E1D9BB2" w:rsidR="00447749"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 xml:space="preserve">Юридические и регуляторные препятствия представляют значительный риск, даже если финансирование и политическая воля присутствуют. Аннулирование Судом ЕС одобрения государственной помощи для проекта «Пакш II» </w:t>
      </w:r>
      <w:r w:rsidRPr="006545EF">
        <w:rPr>
          <w:rFonts w:asciiTheme="majorHAnsi" w:eastAsia="Google Sans Text" w:hAnsiTheme="majorHAnsi" w:cstheme="majorHAnsi"/>
          <w:color w:val="575B5F"/>
          <w:sz w:val="24"/>
          <w:szCs w:val="24"/>
          <w:vertAlign w:val="superscript"/>
        </w:rPr>
        <w:t>5</w:t>
      </w:r>
      <w:r w:rsidRPr="006545EF">
        <w:rPr>
          <w:rFonts w:asciiTheme="majorHAnsi" w:eastAsia="Google Sans Text" w:hAnsiTheme="majorHAnsi" w:cstheme="majorHAnsi"/>
          <w:color w:val="1B1C1D"/>
        </w:rPr>
        <w:t xml:space="preserve"> служит четким предупреждением: любой крупный ядерный проект в ЕС должен не только соответствовать техническим требованиям, но и строго соблюдать правила ЕС о государственных закупках и контроле за государственной помощью. Этот прецедент подчеркивает сложность реализации проектов с участием неевропейских вендоров в условиях жесткого регуляторного контроля.</w:t>
      </w:r>
    </w:p>
    <w:p w14:paraId="59036B9A" w14:textId="77777777" w:rsidR="00447749"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Нехватка технических компетенций и квалифицированных кадров остается системной проблемой. Как было отмечено в Словакии, дефицит экспертов и подрядчиков усугубляется конкуренцией с другими крупными европейскими программами.</w:t>
      </w:r>
      <w:r w:rsidRPr="006545EF">
        <w:rPr>
          <w:rFonts w:asciiTheme="majorHAnsi" w:eastAsia="Google Sans Text" w:hAnsiTheme="majorHAnsi" w:cstheme="majorHAnsi"/>
          <w:color w:val="575B5F"/>
          <w:sz w:val="24"/>
          <w:szCs w:val="24"/>
          <w:vertAlign w:val="superscript"/>
        </w:rPr>
        <w:t>1</w:t>
      </w:r>
      <w:r w:rsidRPr="006545EF">
        <w:rPr>
          <w:rFonts w:asciiTheme="majorHAnsi" w:eastAsia="Google Sans Text" w:hAnsiTheme="majorHAnsi" w:cstheme="majorHAnsi"/>
          <w:color w:val="1B1C1D"/>
        </w:rPr>
        <w:t xml:space="preserve"> Стратегия внедрения стандартизированных SMR-технологий, которую приняли Польша и Эстония, может частично решить эту проблему за счет модульности и возможности локализации цепочек поставок.</w:t>
      </w:r>
      <w:r w:rsidRPr="006545EF">
        <w:rPr>
          <w:rFonts w:asciiTheme="majorHAnsi" w:eastAsia="Google Sans Text" w:hAnsiTheme="majorHAnsi" w:cstheme="majorHAnsi"/>
          <w:color w:val="575B5F"/>
          <w:sz w:val="24"/>
          <w:szCs w:val="24"/>
          <w:vertAlign w:val="superscript"/>
        </w:rPr>
        <w:t>10</w:t>
      </w:r>
    </w:p>
    <w:p w14:paraId="6BE1AC24" w14:textId="77777777" w:rsidR="006545EF"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color w:val="1B1C1D"/>
        </w:rPr>
        <w:t>Наконец, политическая неопределенность сохраняется. В Словении, несмотря на растущую общественную поддержку ядерной энергии на фоне энергетических кризисов, правительство обязалось провести национальный референдум, прежде чем принимать окончательное инвестиционное решение по проекту JEK2. Это сохраняет высокую политическую волатильность до момента принятия FID.</w:t>
      </w:r>
      <w:r w:rsidRPr="006545EF">
        <w:rPr>
          <w:rFonts w:asciiTheme="majorHAnsi" w:eastAsia="Google Sans Text" w:hAnsiTheme="majorHAnsi" w:cstheme="majorHAnsi"/>
          <w:color w:val="575B5F"/>
          <w:sz w:val="24"/>
          <w:szCs w:val="24"/>
          <w:vertAlign w:val="superscript"/>
        </w:rPr>
        <w:t>18</w:t>
      </w:r>
    </w:p>
    <w:p w14:paraId="30120526" w14:textId="03298BB7" w:rsidR="006545EF" w:rsidRPr="006545EF" w:rsidRDefault="00000000" w:rsidP="006545EF">
      <w:pPr>
        <w:pStyle w:val="3"/>
        <w:spacing w:before="0" w:after="120" w:line="275" w:lineRule="auto"/>
        <w:jc w:val="both"/>
        <w:rPr>
          <w:rFonts w:asciiTheme="majorHAnsi" w:eastAsia="Google Sans" w:hAnsiTheme="majorHAnsi" w:cstheme="majorHAnsi"/>
          <w:color w:val="1B1C1D"/>
        </w:rPr>
      </w:pPr>
      <w:bookmarkStart w:id="3" w:name="_Toc210595455"/>
      <w:r w:rsidRPr="006545EF">
        <w:rPr>
          <w:rFonts w:asciiTheme="majorHAnsi" w:eastAsia="Google Sans" w:hAnsiTheme="majorHAnsi" w:cstheme="majorHAnsi"/>
          <w:color w:val="1B1C1D"/>
        </w:rPr>
        <w:lastRenderedPageBreak/>
        <w:t>VI. ПЕРСПЕКТИВЫ РАЗВИТИЯ И ЗАКЛЮЧИТЕЛЬНЫЕ РЕКОМЕНДАЦИИ</w:t>
      </w:r>
      <w:bookmarkEnd w:id="3"/>
    </w:p>
    <w:p w14:paraId="7DDD3960" w14:textId="2053207C" w:rsidR="00447749"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color w:val="1B1C1D"/>
        </w:rPr>
        <w:t>Ядерный ренессанс в Восточной Европе является фундаментальным, геополитически обусловленным сдвигом, требующим беспрецедентного уровня государственных гарантий. Анализ текущего ландшафта демонстрирует, что успех проектов будет зависеть не столько от наличия политической воли, сколько от способности преодолеть три ключевых барьера: финансирование, регуляторное соответствие ЕС и дефицит ресурсов.</w:t>
      </w:r>
    </w:p>
    <w:p w14:paraId="2AEF1EF9" w14:textId="77777777" w:rsidR="00447749"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b/>
          <w:color w:val="1B1C1D"/>
        </w:rPr>
        <w:t>1. Финансовая Устойчивость и Привлечение Капитала:</w:t>
      </w:r>
      <w:r w:rsidRPr="006545EF">
        <w:rPr>
          <w:rFonts w:asciiTheme="majorHAnsi" w:eastAsia="Google Sans Text" w:hAnsiTheme="majorHAnsi" w:cstheme="majorHAnsi"/>
          <w:color w:val="1B1C1D"/>
        </w:rPr>
        <w:t xml:space="preserve"> Модель контрактов на разницу (CfD), которую планируют использовать Польша и Румыния, является единственным реалистичным путем для привлечения необходимого банковского финансирования, поскольку она обеспечивает долгосрочную предсказуемость денежных потоков, что критически важно в свете высокой стоимости и длительности LNP-проектов. Для ускорения проектов SMR (как в Польше и Эстонии) необходимо активно заключать долгосрочные Соглашения о покупке электроэнергии (PPA) с крупными корпоративными потребителями (дата-центры, ИИ), что позволит частично заменить государственное финансирование частным капиталом.</w:t>
      </w:r>
    </w:p>
    <w:p w14:paraId="3283FD1E" w14:textId="77777777" w:rsidR="00447749" w:rsidRPr="006545EF" w:rsidRDefault="00000000" w:rsidP="006545EF">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6545EF">
        <w:rPr>
          <w:rFonts w:asciiTheme="majorHAnsi" w:eastAsia="Google Sans Text" w:hAnsiTheme="majorHAnsi" w:cstheme="majorHAnsi"/>
          <w:b/>
          <w:color w:val="1B1C1D"/>
        </w:rPr>
        <w:t>2. Регуляторная Подготовка:</w:t>
      </w:r>
      <w:r w:rsidRPr="006545EF">
        <w:rPr>
          <w:rFonts w:asciiTheme="majorHAnsi" w:eastAsia="Google Sans Text" w:hAnsiTheme="majorHAnsi" w:cstheme="majorHAnsi"/>
          <w:color w:val="1B1C1D"/>
        </w:rPr>
        <w:t xml:space="preserve"> Прецедент Paks II в Венгрии четко указывает на то, что строгий контроль ЕС за соблюдением правил государственных закупок и государственной помощи может заблокировать проект независимо от его технической готовности. Странам, начинающим ядерные программы (Литва, Сербия), необходимо в первую очередь создавать независимые координационные органы и адаптировать регуляторные рамки для SMR, чтобы обеспечить эффективное лицензирование и соответствие требованиям ЕС к 2028 году, когда ожидается выделение субсидий.</w:t>
      </w:r>
      <w:r w:rsidRPr="006545EF">
        <w:rPr>
          <w:rFonts w:asciiTheme="majorHAnsi" w:eastAsia="Google Sans Text" w:hAnsiTheme="majorHAnsi" w:cstheme="majorHAnsi"/>
          <w:color w:val="575B5F"/>
          <w:sz w:val="24"/>
          <w:szCs w:val="24"/>
          <w:vertAlign w:val="superscript"/>
        </w:rPr>
        <w:t>1</w:t>
      </w:r>
    </w:p>
    <w:p w14:paraId="0C922664" w14:textId="77777777" w:rsidR="00447749" w:rsidRPr="006545EF" w:rsidRDefault="00000000" w:rsidP="006545EF">
      <w:pPr>
        <w:pBdr>
          <w:top w:val="nil"/>
          <w:left w:val="nil"/>
          <w:bottom w:val="nil"/>
          <w:right w:val="nil"/>
          <w:between w:val="nil"/>
        </w:pBdr>
        <w:spacing w:after="255" w:line="275" w:lineRule="auto"/>
        <w:jc w:val="both"/>
        <w:rPr>
          <w:rFonts w:asciiTheme="majorHAnsi" w:eastAsia="Google Sans Text" w:hAnsiTheme="majorHAnsi" w:cstheme="majorHAnsi"/>
          <w:color w:val="1B1C1D"/>
        </w:rPr>
      </w:pPr>
      <w:r w:rsidRPr="006545EF">
        <w:rPr>
          <w:rFonts w:asciiTheme="majorHAnsi" w:eastAsia="Google Sans Text" w:hAnsiTheme="majorHAnsi" w:cstheme="majorHAnsi"/>
          <w:b/>
          <w:color w:val="1B1C1D"/>
        </w:rPr>
        <w:t>3. Стратегическое Позиционирование Сербии:</w:t>
      </w:r>
      <w:r w:rsidRPr="006545EF">
        <w:rPr>
          <w:rFonts w:asciiTheme="majorHAnsi" w:eastAsia="Google Sans Text" w:hAnsiTheme="majorHAnsi" w:cstheme="majorHAnsi"/>
          <w:color w:val="1B1C1D"/>
        </w:rPr>
        <w:t xml:space="preserve"> Отмена Сербией моратория и ее многовекторная стратегия переговоров с различными мировыми вендорами (РФ, Франция, Ю. Корея) позволяют стране минимизировать геополитические риски, присущие проектам, привязанным к одному вендору. Платформа «Атомная Сербия», сочетающая инженерную экспертизу (NUCON) и стратегический консалтинг (CONSILIO) </w:t>
      </w:r>
      <w:r w:rsidRPr="006545EF">
        <w:rPr>
          <w:rFonts w:asciiTheme="majorHAnsi" w:eastAsia="Google Sans Text" w:hAnsiTheme="majorHAnsi" w:cstheme="majorHAnsi"/>
          <w:color w:val="575B5F"/>
          <w:sz w:val="24"/>
          <w:szCs w:val="24"/>
          <w:vertAlign w:val="superscript"/>
        </w:rPr>
        <w:t>1</w:t>
      </w:r>
      <w:r w:rsidRPr="006545EF">
        <w:rPr>
          <w:rFonts w:asciiTheme="majorHAnsi" w:eastAsia="Google Sans Text" w:hAnsiTheme="majorHAnsi" w:cstheme="majorHAnsi"/>
          <w:color w:val="1B1C1D"/>
        </w:rPr>
        <w:t>, может стать ключевым инструментом в этой стратегии, позиционируя страну как нейтральный аналитический «мост» и обеспечивая информационную основу для принятия долгосрочных, критически важных энергетических решений.</w:t>
      </w:r>
    </w:p>
    <w:p w14:paraId="5DD79089" w14:textId="77777777" w:rsidR="00447749" w:rsidRPr="006545EF" w:rsidRDefault="00000000" w:rsidP="006545EF">
      <w:pPr>
        <w:pStyle w:val="4"/>
        <w:spacing w:before="0"/>
        <w:jc w:val="both"/>
        <w:rPr>
          <w:rFonts w:asciiTheme="majorHAnsi" w:eastAsia="Google Sans" w:hAnsiTheme="majorHAnsi" w:cstheme="majorHAnsi"/>
        </w:rPr>
      </w:pPr>
      <w:r w:rsidRPr="006545EF">
        <w:rPr>
          <w:rFonts w:asciiTheme="majorHAnsi" w:eastAsia="Google Sans" w:hAnsiTheme="majorHAnsi" w:cstheme="majorHAnsi"/>
        </w:rPr>
        <w:t>Источники</w:t>
      </w:r>
    </w:p>
    <w:p w14:paraId="31D0B92D" w14:textId="77777777" w:rsidR="00447749" w:rsidRPr="006545EF" w:rsidRDefault="00000000" w:rsidP="006545EF">
      <w:pPr>
        <w:numPr>
          <w:ilvl w:val="0"/>
          <w:numId w:val="3"/>
        </w:numPr>
        <w:pBdr>
          <w:top w:val="nil"/>
          <w:left w:val="nil"/>
          <w:bottom w:val="nil"/>
          <w:right w:val="nil"/>
          <w:between w:val="nil"/>
        </w:pBdr>
        <w:jc w:val="both"/>
        <w:rPr>
          <w:rFonts w:asciiTheme="majorHAnsi" w:hAnsiTheme="majorHAnsi" w:cstheme="majorHAnsi"/>
        </w:rPr>
      </w:pPr>
      <w:r w:rsidRPr="006545EF">
        <w:rPr>
          <w:rFonts w:asciiTheme="majorHAnsi" w:eastAsia="Google Sans" w:hAnsiTheme="majorHAnsi" w:cstheme="majorHAnsi"/>
          <w:sz w:val="24"/>
          <w:szCs w:val="24"/>
        </w:rPr>
        <w:t>Страны Восточной Европы разрабатывают.docx</w:t>
      </w:r>
    </w:p>
    <w:p w14:paraId="2F5CD248" w14:textId="77777777" w:rsidR="00447749" w:rsidRPr="006545EF" w:rsidRDefault="00000000" w:rsidP="006545EF">
      <w:pPr>
        <w:numPr>
          <w:ilvl w:val="0"/>
          <w:numId w:val="3"/>
        </w:numPr>
        <w:pBdr>
          <w:top w:val="nil"/>
          <w:left w:val="nil"/>
          <w:bottom w:val="nil"/>
          <w:right w:val="nil"/>
          <w:between w:val="nil"/>
        </w:pBdr>
        <w:jc w:val="both"/>
        <w:rPr>
          <w:rFonts w:asciiTheme="majorHAnsi" w:hAnsiTheme="majorHAnsi" w:cstheme="majorHAnsi"/>
        </w:rPr>
      </w:pPr>
      <w:r w:rsidRPr="006545EF">
        <w:rPr>
          <w:rFonts w:asciiTheme="majorHAnsi" w:eastAsia="Google Sans" w:hAnsiTheme="majorHAnsi" w:cstheme="majorHAnsi"/>
          <w:sz w:val="24"/>
          <w:szCs w:val="24"/>
        </w:rPr>
        <w:t xml:space="preserve">Nuclear Power in Poland, дата последнего обращения: октября 5, 2025, </w:t>
      </w:r>
      <w:hyperlink r:id="rId8">
        <w:r w:rsidRPr="006545EF">
          <w:rPr>
            <w:rFonts w:asciiTheme="majorHAnsi" w:eastAsia="Google Sans" w:hAnsiTheme="majorHAnsi" w:cstheme="majorHAnsi"/>
            <w:color w:val="0000EE"/>
            <w:sz w:val="24"/>
            <w:szCs w:val="24"/>
            <w:u w:val="single"/>
          </w:rPr>
          <w:t>https://world-nuclear.org/information-library/country-profiles/countries-o-s/poland</w:t>
        </w:r>
      </w:hyperlink>
    </w:p>
    <w:p w14:paraId="16FBF351" w14:textId="77777777" w:rsidR="00447749" w:rsidRPr="006545EF" w:rsidRDefault="00000000" w:rsidP="006545EF">
      <w:pPr>
        <w:numPr>
          <w:ilvl w:val="0"/>
          <w:numId w:val="3"/>
        </w:numPr>
        <w:pBdr>
          <w:top w:val="nil"/>
          <w:left w:val="nil"/>
          <w:bottom w:val="nil"/>
          <w:right w:val="nil"/>
          <w:between w:val="nil"/>
        </w:pBdr>
        <w:jc w:val="both"/>
        <w:rPr>
          <w:rFonts w:asciiTheme="majorHAnsi" w:hAnsiTheme="majorHAnsi" w:cstheme="majorHAnsi"/>
        </w:rPr>
      </w:pPr>
      <w:r w:rsidRPr="006545EF">
        <w:rPr>
          <w:rFonts w:asciiTheme="majorHAnsi" w:eastAsia="Google Sans" w:hAnsiTheme="majorHAnsi" w:cstheme="majorHAnsi"/>
          <w:sz w:val="24"/>
          <w:szCs w:val="24"/>
        </w:rPr>
        <w:t xml:space="preserve">Site for the First SMR in Poland Selected | Uatom.org, дата последнего обращения: октября 5, 2025, </w:t>
      </w:r>
      <w:hyperlink r:id="rId9">
        <w:r w:rsidRPr="006545EF">
          <w:rPr>
            <w:rFonts w:asciiTheme="majorHAnsi" w:eastAsia="Google Sans" w:hAnsiTheme="majorHAnsi" w:cstheme="majorHAnsi"/>
            <w:color w:val="0000EE"/>
            <w:sz w:val="24"/>
            <w:szCs w:val="24"/>
            <w:u w:val="single"/>
          </w:rPr>
          <w:t>https://www.uatom.org/en/2025/08/29/site-for-the-first-smr-in-poland-selected.html</w:t>
        </w:r>
      </w:hyperlink>
    </w:p>
    <w:p w14:paraId="5AB23820" w14:textId="77777777" w:rsidR="00447749" w:rsidRPr="006545EF" w:rsidRDefault="00000000" w:rsidP="006545EF">
      <w:pPr>
        <w:numPr>
          <w:ilvl w:val="0"/>
          <w:numId w:val="3"/>
        </w:numPr>
        <w:pBdr>
          <w:top w:val="nil"/>
          <w:left w:val="nil"/>
          <w:bottom w:val="nil"/>
          <w:right w:val="nil"/>
          <w:between w:val="nil"/>
        </w:pBdr>
        <w:jc w:val="both"/>
        <w:rPr>
          <w:rFonts w:asciiTheme="majorHAnsi" w:hAnsiTheme="majorHAnsi" w:cstheme="majorHAnsi"/>
        </w:rPr>
      </w:pPr>
      <w:r w:rsidRPr="006545EF">
        <w:rPr>
          <w:rFonts w:asciiTheme="majorHAnsi" w:eastAsia="Google Sans" w:hAnsiTheme="majorHAnsi" w:cstheme="majorHAnsi"/>
          <w:sz w:val="24"/>
          <w:szCs w:val="24"/>
        </w:rPr>
        <w:t xml:space="preserve">Czechia seeks EU approval to extend Dukovany funding - ceenergynews, дата последнего обращения: октября 5, 2025, </w:t>
      </w:r>
      <w:hyperlink r:id="rId10">
        <w:r w:rsidRPr="006545EF">
          <w:rPr>
            <w:rFonts w:asciiTheme="majorHAnsi" w:eastAsia="Google Sans" w:hAnsiTheme="majorHAnsi" w:cstheme="majorHAnsi"/>
            <w:color w:val="0000EE"/>
            <w:sz w:val="24"/>
            <w:szCs w:val="24"/>
            <w:u w:val="single"/>
          </w:rPr>
          <w:t>https://ceenergynews.com/nuclear/czechia-eu-approval-</w:t>
        </w:r>
        <w:r w:rsidRPr="006545EF">
          <w:rPr>
            <w:rFonts w:asciiTheme="majorHAnsi" w:eastAsia="Google Sans" w:hAnsiTheme="majorHAnsi" w:cstheme="majorHAnsi"/>
            <w:color w:val="0000EE"/>
            <w:sz w:val="24"/>
            <w:szCs w:val="24"/>
            <w:u w:val="single"/>
          </w:rPr>
          <w:lastRenderedPageBreak/>
          <w:t>dukovany-funding/</w:t>
        </w:r>
      </w:hyperlink>
    </w:p>
    <w:p w14:paraId="02200B54" w14:textId="77777777" w:rsidR="00447749" w:rsidRPr="006545EF" w:rsidRDefault="00000000" w:rsidP="006545EF">
      <w:pPr>
        <w:numPr>
          <w:ilvl w:val="0"/>
          <w:numId w:val="3"/>
        </w:numPr>
        <w:pBdr>
          <w:top w:val="nil"/>
          <w:left w:val="nil"/>
          <w:bottom w:val="nil"/>
          <w:right w:val="nil"/>
          <w:between w:val="nil"/>
        </w:pBdr>
        <w:jc w:val="both"/>
        <w:rPr>
          <w:rFonts w:asciiTheme="majorHAnsi" w:hAnsiTheme="majorHAnsi" w:cstheme="majorHAnsi"/>
        </w:rPr>
      </w:pPr>
      <w:r w:rsidRPr="006545EF">
        <w:rPr>
          <w:rFonts w:asciiTheme="majorHAnsi" w:eastAsia="Google Sans" w:hAnsiTheme="majorHAnsi" w:cstheme="majorHAnsi"/>
          <w:sz w:val="24"/>
          <w:szCs w:val="24"/>
        </w:rPr>
        <w:t xml:space="preserve">Dark clouds over Paks II: no approval for Hungary's state aid - Ośrodek Studiów Wschodnich, дата последнего обращения: октября 5, 2025, </w:t>
      </w:r>
      <w:hyperlink r:id="rId11">
        <w:r w:rsidRPr="006545EF">
          <w:rPr>
            <w:rFonts w:asciiTheme="majorHAnsi" w:eastAsia="Google Sans" w:hAnsiTheme="majorHAnsi" w:cstheme="majorHAnsi"/>
            <w:color w:val="0000EE"/>
            <w:sz w:val="24"/>
            <w:szCs w:val="24"/>
            <w:u w:val="single"/>
          </w:rPr>
          <w:t>https://www.osw.waw.pl/en/publikacje/analyses/2025-09-17/dark-clouds-over-paks-ii-no-approval-hungarys-state-aid</w:t>
        </w:r>
      </w:hyperlink>
    </w:p>
    <w:p w14:paraId="225F57FB" w14:textId="77777777" w:rsidR="00447749" w:rsidRPr="006545EF" w:rsidRDefault="00000000" w:rsidP="006545EF">
      <w:pPr>
        <w:numPr>
          <w:ilvl w:val="0"/>
          <w:numId w:val="3"/>
        </w:numPr>
        <w:pBdr>
          <w:top w:val="nil"/>
          <w:left w:val="nil"/>
          <w:bottom w:val="nil"/>
          <w:right w:val="nil"/>
          <w:between w:val="nil"/>
        </w:pBdr>
        <w:jc w:val="both"/>
        <w:rPr>
          <w:rFonts w:asciiTheme="majorHAnsi" w:hAnsiTheme="majorHAnsi" w:cstheme="majorHAnsi"/>
        </w:rPr>
      </w:pPr>
      <w:r w:rsidRPr="006545EF">
        <w:rPr>
          <w:rFonts w:asciiTheme="majorHAnsi" w:eastAsia="Google Sans" w:hAnsiTheme="majorHAnsi" w:cstheme="majorHAnsi"/>
          <w:sz w:val="24"/>
          <w:szCs w:val="24"/>
        </w:rPr>
        <w:t xml:space="preserve">Slovakia Turns to US Technology to Expand its Nuclear Future-Conference News-Europe Nuclear Energy &amp; SMR Conference (ENES 2025), дата последнего обращения: октября 5, 2025, </w:t>
      </w:r>
      <w:hyperlink r:id="rId12">
        <w:r w:rsidRPr="006545EF">
          <w:rPr>
            <w:rFonts w:asciiTheme="majorHAnsi" w:eastAsia="Google Sans" w:hAnsiTheme="majorHAnsi" w:cstheme="majorHAnsi"/>
            <w:color w:val="0000EE"/>
            <w:sz w:val="24"/>
            <w:szCs w:val="24"/>
            <w:u w:val="single"/>
          </w:rPr>
          <w:t>https://europe-nuclear-smr.ltsinnovate.com/ConferenceNews/1296.html</w:t>
        </w:r>
      </w:hyperlink>
    </w:p>
    <w:p w14:paraId="3EBEF015" w14:textId="77777777" w:rsidR="00447749" w:rsidRPr="006545EF" w:rsidRDefault="00000000" w:rsidP="006545EF">
      <w:pPr>
        <w:numPr>
          <w:ilvl w:val="0"/>
          <w:numId w:val="3"/>
        </w:numPr>
        <w:pBdr>
          <w:top w:val="nil"/>
          <w:left w:val="nil"/>
          <w:bottom w:val="nil"/>
          <w:right w:val="nil"/>
          <w:between w:val="nil"/>
        </w:pBdr>
        <w:jc w:val="both"/>
        <w:rPr>
          <w:rFonts w:asciiTheme="majorHAnsi" w:hAnsiTheme="majorHAnsi" w:cstheme="majorHAnsi"/>
        </w:rPr>
      </w:pPr>
      <w:r w:rsidRPr="006545EF">
        <w:rPr>
          <w:rFonts w:asciiTheme="majorHAnsi" w:eastAsia="Google Sans" w:hAnsiTheme="majorHAnsi" w:cstheme="majorHAnsi"/>
          <w:sz w:val="24"/>
          <w:szCs w:val="24"/>
        </w:rPr>
        <w:t xml:space="preserve">Capital costs challenge: how to overcome the issue in CESA nuclear power projects - EY, дата последнего обращения: октября 5, 2025, </w:t>
      </w:r>
      <w:hyperlink r:id="rId13">
        <w:r w:rsidRPr="006545EF">
          <w:rPr>
            <w:rFonts w:asciiTheme="majorHAnsi" w:eastAsia="Google Sans" w:hAnsiTheme="majorHAnsi" w:cstheme="majorHAnsi"/>
            <w:color w:val="0000EE"/>
            <w:sz w:val="24"/>
            <w:szCs w:val="24"/>
            <w:u w:val="single"/>
          </w:rPr>
          <w:t>https://www.ey.com/en_ro/newsroom/2025/03/capital-costs-challenge-how-to-overcome-the-issue-in-cesa-</w:t>
        </w:r>
      </w:hyperlink>
    </w:p>
    <w:p w14:paraId="3E0D3371" w14:textId="77777777" w:rsidR="00447749" w:rsidRPr="006545EF" w:rsidRDefault="00000000" w:rsidP="006545EF">
      <w:pPr>
        <w:numPr>
          <w:ilvl w:val="0"/>
          <w:numId w:val="3"/>
        </w:numPr>
        <w:pBdr>
          <w:top w:val="nil"/>
          <w:left w:val="nil"/>
          <w:bottom w:val="nil"/>
          <w:right w:val="nil"/>
          <w:between w:val="nil"/>
        </w:pBdr>
        <w:jc w:val="both"/>
        <w:rPr>
          <w:rFonts w:asciiTheme="majorHAnsi" w:hAnsiTheme="majorHAnsi" w:cstheme="majorHAnsi"/>
        </w:rPr>
      </w:pPr>
      <w:r w:rsidRPr="006545EF">
        <w:rPr>
          <w:rFonts w:asciiTheme="majorHAnsi" w:eastAsia="Google Sans" w:hAnsiTheme="majorHAnsi" w:cstheme="majorHAnsi"/>
          <w:sz w:val="24"/>
          <w:szCs w:val="24"/>
        </w:rPr>
        <w:t xml:space="preserve">Bulgaria Chooses US-Based Citi To Coordinate Financing For Kozloduy Nuclear Project, дата последнего обращения: октября 5, 2025, </w:t>
      </w:r>
      <w:hyperlink r:id="rId14">
        <w:r w:rsidRPr="006545EF">
          <w:rPr>
            <w:rFonts w:asciiTheme="majorHAnsi" w:eastAsia="Google Sans" w:hAnsiTheme="majorHAnsi" w:cstheme="majorHAnsi"/>
            <w:color w:val="0000EE"/>
            <w:sz w:val="24"/>
            <w:szCs w:val="24"/>
            <w:u w:val="single"/>
          </w:rPr>
          <w:t>https://www.nucnet.org/news/bulgaria-chooses-us-based-citi-to-coordinate-financing-for-kozloduy-nuclear-project-7-1-2025</w:t>
        </w:r>
      </w:hyperlink>
    </w:p>
    <w:p w14:paraId="1B7B396A" w14:textId="77777777" w:rsidR="00447749" w:rsidRPr="006545EF" w:rsidRDefault="00000000" w:rsidP="006545EF">
      <w:pPr>
        <w:numPr>
          <w:ilvl w:val="0"/>
          <w:numId w:val="3"/>
        </w:numPr>
        <w:pBdr>
          <w:top w:val="nil"/>
          <w:left w:val="nil"/>
          <w:bottom w:val="nil"/>
          <w:right w:val="nil"/>
          <w:between w:val="nil"/>
        </w:pBdr>
        <w:jc w:val="both"/>
        <w:rPr>
          <w:rFonts w:asciiTheme="majorHAnsi" w:hAnsiTheme="majorHAnsi" w:cstheme="majorHAnsi"/>
        </w:rPr>
      </w:pPr>
      <w:r w:rsidRPr="006545EF">
        <w:rPr>
          <w:rFonts w:asciiTheme="majorHAnsi" w:eastAsia="Google Sans" w:hAnsiTheme="majorHAnsi" w:cstheme="majorHAnsi"/>
          <w:sz w:val="24"/>
          <w:szCs w:val="24"/>
        </w:rPr>
        <w:t xml:space="preserve">Bulgaria Plans 2026 Final Investment Decision For Two New Kozloduy Units, Says Official, дата последнего обращения: октября 5, 2025, </w:t>
      </w:r>
      <w:hyperlink r:id="rId15">
        <w:r w:rsidRPr="006545EF">
          <w:rPr>
            <w:rFonts w:asciiTheme="majorHAnsi" w:eastAsia="Google Sans" w:hAnsiTheme="majorHAnsi" w:cstheme="majorHAnsi"/>
            <w:color w:val="0000EE"/>
            <w:sz w:val="24"/>
            <w:szCs w:val="24"/>
            <w:u w:val="single"/>
          </w:rPr>
          <w:t>https://www.nucnet.org/news/bulgaria-plans-2026-final-investment-decision-for-two-new-kozloduy-units-10-5-2025</w:t>
        </w:r>
      </w:hyperlink>
    </w:p>
    <w:p w14:paraId="6156564C" w14:textId="77777777" w:rsidR="00447749" w:rsidRPr="006545EF" w:rsidRDefault="00000000" w:rsidP="006545EF">
      <w:pPr>
        <w:numPr>
          <w:ilvl w:val="0"/>
          <w:numId w:val="3"/>
        </w:numPr>
        <w:pBdr>
          <w:top w:val="nil"/>
          <w:left w:val="nil"/>
          <w:bottom w:val="nil"/>
          <w:right w:val="nil"/>
          <w:between w:val="nil"/>
        </w:pBdr>
        <w:jc w:val="both"/>
        <w:rPr>
          <w:rFonts w:asciiTheme="majorHAnsi" w:hAnsiTheme="majorHAnsi" w:cstheme="majorHAnsi"/>
        </w:rPr>
      </w:pPr>
      <w:r w:rsidRPr="006545EF">
        <w:rPr>
          <w:rFonts w:asciiTheme="majorHAnsi" w:eastAsia="Google Sans" w:hAnsiTheme="majorHAnsi" w:cstheme="majorHAnsi"/>
          <w:sz w:val="24"/>
          <w:szCs w:val="24"/>
        </w:rPr>
        <w:t xml:space="preserve">Aecon and Fermi Energia Sign Teaming Agreement to Advance Small Modular Reactor Deployment in Estonia, дата последнего обращения: октября 5, 2025, </w:t>
      </w:r>
      <w:hyperlink r:id="rId16">
        <w:r w:rsidRPr="006545EF">
          <w:rPr>
            <w:rFonts w:asciiTheme="majorHAnsi" w:eastAsia="Google Sans" w:hAnsiTheme="majorHAnsi" w:cstheme="majorHAnsi"/>
            <w:color w:val="0000EE"/>
            <w:sz w:val="24"/>
            <w:szCs w:val="24"/>
            <w:u w:val="single"/>
          </w:rPr>
          <w:t>https://www.aecon.com/press-room/news/2025/09/16/aecon-fermi-energia-agreement</w:t>
        </w:r>
      </w:hyperlink>
    </w:p>
    <w:p w14:paraId="483983B1" w14:textId="77777777" w:rsidR="00447749" w:rsidRPr="006545EF" w:rsidRDefault="00000000" w:rsidP="006545EF">
      <w:pPr>
        <w:numPr>
          <w:ilvl w:val="0"/>
          <w:numId w:val="3"/>
        </w:numPr>
        <w:pBdr>
          <w:top w:val="nil"/>
          <w:left w:val="nil"/>
          <w:bottom w:val="nil"/>
          <w:right w:val="nil"/>
          <w:between w:val="nil"/>
        </w:pBdr>
        <w:jc w:val="both"/>
        <w:rPr>
          <w:rFonts w:asciiTheme="majorHAnsi" w:hAnsiTheme="majorHAnsi" w:cstheme="majorHAnsi"/>
        </w:rPr>
      </w:pPr>
      <w:r w:rsidRPr="006545EF">
        <w:rPr>
          <w:rFonts w:asciiTheme="majorHAnsi" w:eastAsia="Google Sans" w:hAnsiTheme="majorHAnsi" w:cstheme="majorHAnsi"/>
          <w:sz w:val="24"/>
          <w:szCs w:val="24"/>
        </w:rPr>
        <w:t xml:space="preserve">Lithuania 2025 – Analysis - IEA, дата последнего обращения: октября 5, 2025, </w:t>
      </w:r>
      <w:hyperlink r:id="rId17">
        <w:r w:rsidRPr="006545EF">
          <w:rPr>
            <w:rFonts w:asciiTheme="majorHAnsi" w:eastAsia="Google Sans" w:hAnsiTheme="majorHAnsi" w:cstheme="majorHAnsi"/>
            <w:color w:val="0000EE"/>
            <w:sz w:val="24"/>
            <w:szCs w:val="24"/>
            <w:u w:val="single"/>
          </w:rPr>
          <w:t>https://www.iea.org/reports/lithuania-2025</w:t>
        </w:r>
      </w:hyperlink>
    </w:p>
    <w:p w14:paraId="617DEE39" w14:textId="77777777" w:rsidR="00447749" w:rsidRPr="006545EF" w:rsidRDefault="00000000" w:rsidP="006545EF">
      <w:pPr>
        <w:numPr>
          <w:ilvl w:val="0"/>
          <w:numId w:val="3"/>
        </w:numPr>
        <w:pBdr>
          <w:top w:val="nil"/>
          <w:left w:val="nil"/>
          <w:bottom w:val="nil"/>
          <w:right w:val="nil"/>
          <w:between w:val="nil"/>
        </w:pBdr>
        <w:jc w:val="both"/>
        <w:rPr>
          <w:rFonts w:asciiTheme="majorHAnsi" w:hAnsiTheme="majorHAnsi" w:cstheme="majorHAnsi"/>
        </w:rPr>
      </w:pPr>
      <w:r w:rsidRPr="006545EF">
        <w:rPr>
          <w:rFonts w:asciiTheme="majorHAnsi" w:eastAsia="Google Sans" w:hAnsiTheme="majorHAnsi" w:cstheme="majorHAnsi"/>
          <w:sz w:val="24"/>
          <w:szCs w:val="24"/>
        </w:rPr>
        <w:t xml:space="preserve">One month to go: Energy Week Western Balkans 2025 – The most anticipated energy gathering of the year - ceenergynews, дата последнего обращения: октября 5, 2025, </w:t>
      </w:r>
      <w:hyperlink r:id="rId18">
        <w:r w:rsidRPr="006545EF">
          <w:rPr>
            <w:rFonts w:asciiTheme="majorHAnsi" w:eastAsia="Google Sans" w:hAnsiTheme="majorHAnsi" w:cstheme="majorHAnsi"/>
            <w:color w:val="0000EE"/>
            <w:sz w:val="24"/>
            <w:szCs w:val="24"/>
            <w:u w:val="single"/>
          </w:rPr>
          <w:t>https://ceenergynews.com/renewables/energy-week-western-balkans-2025-2/</w:t>
        </w:r>
      </w:hyperlink>
    </w:p>
    <w:p w14:paraId="3728E124" w14:textId="77777777" w:rsidR="00447749" w:rsidRPr="006545EF" w:rsidRDefault="00000000" w:rsidP="006545EF">
      <w:pPr>
        <w:numPr>
          <w:ilvl w:val="0"/>
          <w:numId w:val="3"/>
        </w:numPr>
        <w:pBdr>
          <w:top w:val="nil"/>
          <w:left w:val="nil"/>
          <w:bottom w:val="nil"/>
          <w:right w:val="nil"/>
          <w:between w:val="nil"/>
        </w:pBdr>
        <w:jc w:val="both"/>
        <w:rPr>
          <w:rFonts w:asciiTheme="majorHAnsi" w:hAnsiTheme="majorHAnsi" w:cstheme="majorHAnsi"/>
        </w:rPr>
      </w:pPr>
      <w:r w:rsidRPr="006545EF">
        <w:rPr>
          <w:rFonts w:asciiTheme="majorHAnsi" w:eastAsia="Google Sans" w:hAnsiTheme="majorHAnsi" w:cstheme="majorHAnsi"/>
          <w:sz w:val="24"/>
          <w:szCs w:val="24"/>
        </w:rPr>
        <w:t xml:space="preserve">European Industrial Alliance on SMRs unveils Strategic Action Plan - ceenergynews, дата последнего обращения: октября 5, 2025, </w:t>
      </w:r>
      <w:hyperlink r:id="rId19">
        <w:r w:rsidRPr="006545EF">
          <w:rPr>
            <w:rFonts w:asciiTheme="majorHAnsi" w:eastAsia="Google Sans" w:hAnsiTheme="majorHAnsi" w:cstheme="majorHAnsi"/>
            <w:color w:val="0000EE"/>
            <w:sz w:val="24"/>
            <w:szCs w:val="24"/>
            <w:u w:val="single"/>
          </w:rPr>
          <w:t>https://ceenergynews.com/nuclear/european-industrial-alliance-on-smrs-unveils-strategic-action-plan/</w:t>
        </w:r>
      </w:hyperlink>
    </w:p>
    <w:p w14:paraId="3651F327" w14:textId="77777777" w:rsidR="00447749" w:rsidRPr="006545EF" w:rsidRDefault="00000000" w:rsidP="006545EF">
      <w:pPr>
        <w:numPr>
          <w:ilvl w:val="0"/>
          <w:numId w:val="3"/>
        </w:numPr>
        <w:pBdr>
          <w:top w:val="nil"/>
          <w:left w:val="nil"/>
          <w:bottom w:val="nil"/>
          <w:right w:val="nil"/>
          <w:between w:val="nil"/>
        </w:pBdr>
        <w:jc w:val="both"/>
        <w:rPr>
          <w:rFonts w:asciiTheme="majorHAnsi" w:hAnsiTheme="majorHAnsi" w:cstheme="majorHAnsi"/>
        </w:rPr>
      </w:pPr>
      <w:r w:rsidRPr="006545EF">
        <w:rPr>
          <w:rFonts w:asciiTheme="majorHAnsi" w:eastAsia="Google Sans" w:hAnsiTheme="majorHAnsi" w:cstheme="majorHAnsi"/>
          <w:sz w:val="24"/>
          <w:szCs w:val="24"/>
        </w:rPr>
        <w:t xml:space="preserve">Armenia - World Nuclear Performance Report, дата последнего обращения: октября 5, 2025, </w:t>
      </w:r>
      <w:hyperlink r:id="rId20">
        <w:r w:rsidRPr="006545EF">
          <w:rPr>
            <w:rFonts w:asciiTheme="majorHAnsi" w:eastAsia="Google Sans" w:hAnsiTheme="majorHAnsi" w:cstheme="majorHAnsi"/>
            <w:color w:val="0000EE"/>
            <w:sz w:val="24"/>
            <w:szCs w:val="24"/>
            <w:u w:val="single"/>
          </w:rPr>
          <w:t>https://world-nuclear.org/our-association/publications/world-nuclear-performance-report/armenia-world-nuclear-performance-report</w:t>
        </w:r>
      </w:hyperlink>
    </w:p>
    <w:p w14:paraId="00E9E72E" w14:textId="77777777" w:rsidR="00447749" w:rsidRPr="006545EF" w:rsidRDefault="00000000" w:rsidP="006545EF">
      <w:pPr>
        <w:numPr>
          <w:ilvl w:val="0"/>
          <w:numId w:val="3"/>
        </w:numPr>
        <w:pBdr>
          <w:top w:val="nil"/>
          <w:left w:val="nil"/>
          <w:bottom w:val="nil"/>
          <w:right w:val="nil"/>
          <w:between w:val="nil"/>
        </w:pBdr>
        <w:jc w:val="both"/>
        <w:rPr>
          <w:rFonts w:asciiTheme="majorHAnsi" w:hAnsiTheme="majorHAnsi" w:cstheme="majorHAnsi"/>
        </w:rPr>
      </w:pPr>
      <w:r w:rsidRPr="006545EF">
        <w:rPr>
          <w:rFonts w:asciiTheme="majorHAnsi" w:eastAsia="Google Sans" w:hAnsiTheme="majorHAnsi" w:cstheme="majorHAnsi"/>
          <w:sz w:val="24"/>
          <w:szCs w:val="24"/>
        </w:rPr>
        <w:t xml:space="preserve">Integrated Resource Plan | Georgia Power, дата последнего обращения: октября 5, 2025, </w:t>
      </w:r>
      <w:hyperlink r:id="rId21">
        <w:r w:rsidRPr="006545EF">
          <w:rPr>
            <w:rFonts w:asciiTheme="majorHAnsi" w:eastAsia="Google Sans" w:hAnsiTheme="majorHAnsi" w:cstheme="majorHAnsi"/>
            <w:color w:val="0000EE"/>
            <w:sz w:val="24"/>
            <w:szCs w:val="24"/>
            <w:u w:val="single"/>
          </w:rPr>
          <w:t>https://www.georgiapower.com/about/company/filings/irp.html</w:t>
        </w:r>
      </w:hyperlink>
    </w:p>
    <w:p w14:paraId="2856722E" w14:textId="77777777" w:rsidR="00447749" w:rsidRPr="006545EF" w:rsidRDefault="00000000" w:rsidP="006545EF">
      <w:pPr>
        <w:numPr>
          <w:ilvl w:val="0"/>
          <w:numId w:val="3"/>
        </w:numPr>
        <w:pBdr>
          <w:top w:val="nil"/>
          <w:left w:val="nil"/>
          <w:bottom w:val="nil"/>
          <w:right w:val="nil"/>
          <w:between w:val="nil"/>
        </w:pBdr>
        <w:jc w:val="both"/>
        <w:rPr>
          <w:rFonts w:asciiTheme="majorHAnsi" w:hAnsiTheme="majorHAnsi" w:cstheme="majorHAnsi"/>
        </w:rPr>
      </w:pPr>
      <w:r w:rsidRPr="006545EF">
        <w:rPr>
          <w:rFonts w:asciiTheme="majorHAnsi" w:eastAsia="Google Sans" w:hAnsiTheme="majorHAnsi" w:cstheme="majorHAnsi"/>
          <w:sz w:val="24"/>
          <w:szCs w:val="24"/>
        </w:rPr>
        <w:t xml:space="preserve">Energy Outlook 2025: Nuclear Energy - Bird &amp; Bird, дата последнего обращения: октября 5, 2025, </w:t>
      </w:r>
      <w:hyperlink r:id="rId22">
        <w:r w:rsidRPr="006545EF">
          <w:rPr>
            <w:rFonts w:asciiTheme="majorHAnsi" w:eastAsia="Google Sans" w:hAnsiTheme="majorHAnsi" w:cstheme="majorHAnsi"/>
            <w:color w:val="0000EE"/>
            <w:sz w:val="24"/>
            <w:szCs w:val="24"/>
            <w:u w:val="single"/>
          </w:rPr>
          <w:t>https://www.twobirds.com/en/insights/2025/energy-outlook-2025-nuclear-energy</w:t>
        </w:r>
      </w:hyperlink>
    </w:p>
    <w:p w14:paraId="17671778" w14:textId="77777777" w:rsidR="00447749" w:rsidRPr="006545EF" w:rsidRDefault="00000000" w:rsidP="006545EF">
      <w:pPr>
        <w:numPr>
          <w:ilvl w:val="0"/>
          <w:numId w:val="3"/>
        </w:numPr>
        <w:pBdr>
          <w:top w:val="nil"/>
          <w:left w:val="nil"/>
          <w:bottom w:val="nil"/>
          <w:right w:val="nil"/>
          <w:between w:val="nil"/>
        </w:pBdr>
        <w:jc w:val="both"/>
        <w:rPr>
          <w:rFonts w:asciiTheme="majorHAnsi" w:hAnsiTheme="majorHAnsi" w:cstheme="majorHAnsi"/>
        </w:rPr>
      </w:pPr>
      <w:r w:rsidRPr="006545EF">
        <w:rPr>
          <w:rFonts w:asciiTheme="majorHAnsi" w:eastAsia="Google Sans" w:hAnsiTheme="majorHAnsi" w:cstheme="majorHAnsi"/>
          <w:sz w:val="24"/>
          <w:szCs w:val="24"/>
        </w:rPr>
        <w:t xml:space="preserve">Nuclear Will Break Records In 2025, But Major Challenges Remain In US And Europe, Says IEA - NucNet, дата последнего обращения: октября 5, 2025, </w:t>
      </w:r>
      <w:hyperlink r:id="rId23">
        <w:r w:rsidRPr="006545EF">
          <w:rPr>
            <w:rFonts w:asciiTheme="majorHAnsi" w:eastAsia="Google Sans" w:hAnsiTheme="majorHAnsi" w:cstheme="majorHAnsi"/>
            <w:color w:val="0000EE"/>
            <w:sz w:val="24"/>
            <w:szCs w:val="24"/>
            <w:u w:val="single"/>
          </w:rPr>
          <w:t>https://www.nucnet.org/news/nuclear-will-break-records-in-2025-but-major-challenges-remain-in-us-and-europe-says-iea-1-4-2025</w:t>
        </w:r>
      </w:hyperlink>
    </w:p>
    <w:p w14:paraId="68FC23E1" w14:textId="77777777" w:rsidR="00447749" w:rsidRPr="006545EF" w:rsidRDefault="00000000" w:rsidP="006545EF">
      <w:pPr>
        <w:numPr>
          <w:ilvl w:val="0"/>
          <w:numId w:val="3"/>
        </w:numPr>
        <w:pBdr>
          <w:top w:val="nil"/>
          <w:left w:val="nil"/>
          <w:bottom w:val="nil"/>
          <w:right w:val="nil"/>
          <w:between w:val="nil"/>
        </w:pBdr>
        <w:jc w:val="both"/>
        <w:rPr>
          <w:rFonts w:asciiTheme="majorHAnsi" w:hAnsiTheme="majorHAnsi" w:cstheme="majorHAnsi"/>
        </w:rPr>
      </w:pPr>
      <w:r w:rsidRPr="006545EF">
        <w:rPr>
          <w:rFonts w:asciiTheme="majorHAnsi" w:eastAsia="Google Sans" w:hAnsiTheme="majorHAnsi" w:cstheme="majorHAnsi"/>
          <w:sz w:val="24"/>
          <w:szCs w:val="24"/>
        </w:rPr>
        <w:t xml:space="preserve">Slovenia's JEK2 Nuclear Project: Balancing Technology, Policy, and Regional Energy Strategy-Conference News-Europe Nuclear Energy &amp; SMR Conference (ENES 2025), дата последнего обращения: октября 5, 2025, </w:t>
      </w:r>
      <w:hyperlink r:id="rId24">
        <w:r w:rsidRPr="006545EF">
          <w:rPr>
            <w:rFonts w:asciiTheme="majorHAnsi" w:eastAsia="Google Sans" w:hAnsiTheme="majorHAnsi" w:cstheme="majorHAnsi"/>
            <w:color w:val="0000EE"/>
            <w:sz w:val="24"/>
            <w:szCs w:val="24"/>
            <w:u w:val="single"/>
          </w:rPr>
          <w:t>https://europe-nuclear-</w:t>
        </w:r>
        <w:r w:rsidRPr="006545EF">
          <w:rPr>
            <w:rFonts w:asciiTheme="majorHAnsi" w:eastAsia="Google Sans" w:hAnsiTheme="majorHAnsi" w:cstheme="majorHAnsi"/>
            <w:color w:val="0000EE"/>
            <w:sz w:val="24"/>
            <w:szCs w:val="24"/>
            <w:u w:val="single"/>
          </w:rPr>
          <w:lastRenderedPageBreak/>
          <w:t>smr.ltsinnovate.com/ConferenceNews/1350.html</w:t>
        </w:r>
      </w:hyperlink>
    </w:p>
    <w:sectPr w:rsidR="00447749" w:rsidRPr="006545EF">
      <w:headerReference w:type="default" r:id="rId25"/>
      <w:footerReference w:type="even" r:id="rId26"/>
      <w:footerReference w:type="default" r:id="rId2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F2B7C" w14:textId="77777777" w:rsidR="009F712D" w:rsidRDefault="009F712D" w:rsidP="006545EF">
      <w:r>
        <w:separator/>
      </w:r>
    </w:p>
  </w:endnote>
  <w:endnote w:type="continuationSeparator" w:id="0">
    <w:p w14:paraId="316C3715" w14:textId="77777777" w:rsidR="009F712D" w:rsidRDefault="009F712D" w:rsidP="00654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BF2A6D73-73C8-214B-A78C-4499441F9ECC}"/>
    <w:embedBold r:id="rId2" w:fontKey="{2C0E70F4-1811-3544-B443-0F01E1E70620}"/>
  </w:font>
  <w:font w:name="Times New Roman">
    <w:panose1 w:val="02020603050405020304"/>
    <w:charset w:val="00"/>
    <w:family w:val="roman"/>
    <w:pitch w:val="variable"/>
    <w:sig w:usb0="E0002EFF" w:usb1="C000785B" w:usb2="00000009" w:usb3="00000000" w:csb0="000001FF" w:csb1="00000000"/>
    <w:embedRegular r:id="rId3" w:fontKey="{8CE395DB-A8A4-4E4A-AD29-1F16605ED9A5}"/>
  </w:font>
  <w:font w:name="Georgia">
    <w:panose1 w:val="02040502050405020303"/>
    <w:charset w:val="00"/>
    <w:family w:val="roman"/>
    <w:pitch w:val="variable"/>
    <w:sig w:usb0="00000287" w:usb1="00000000" w:usb2="00000000" w:usb3="00000000" w:csb0="0000009F" w:csb1="00000000"/>
    <w:embedRegular r:id="rId4" w:fontKey="{FE11DB84-17BF-9840-B38D-2B2863A96597}"/>
    <w:embedItalic r:id="rId5" w:fontKey="{83BBC1EF-0544-AF43-9018-7889100C85A7}"/>
  </w:font>
  <w:font w:name="Calibri">
    <w:panose1 w:val="020F0502020204030204"/>
    <w:charset w:val="00"/>
    <w:family w:val="swiss"/>
    <w:pitch w:val="variable"/>
    <w:sig w:usb0="E4002EFF" w:usb1="C200247B" w:usb2="00000009" w:usb3="00000000" w:csb0="000001FF" w:csb1="00000000"/>
    <w:embedRegular r:id="rId6" w:fontKey="{D0BC7FBA-F4D6-464B-AEED-A9FBFE432964}"/>
    <w:embedBold r:id="rId7" w:fontKey="{511E298A-A291-F548-BE3D-DC38718A38E3}"/>
  </w:font>
  <w:font w:name="Cambria">
    <w:panose1 w:val="02040503050406030204"/>
    <w:charset w:val="00"/>
    <w:family w:val="roman"/>
    <w:pitch w:val="variable"/>
    <w:sig w:usb0="E00006FF" w:usb1="420024FF" w:usb2="02000000" w:usb3="00000000" w:csb0="0000019F" w:csb1="00000000"/>
    <w:embedRegular r:id="rId8" w:fontKey="{FA5D0B91-32D3-684F-AECA-08C2457B0A6E}"/>
  </w:font>
  <w:font w:name="Google Sans">
    <w:altName w:val="Calibri"/>
    <w:panose1 w:val="020B0604020202020204"/>
    <w:charset w:val="00"/>
    <w:family w:val="auto"/>
    <w:pitch w:val="default"/>
    <w:embedRegular r:id="rId9" w:fontKey="{E026358B-6A3E-8148-B2C7-EEB25ADE733F}"/>
    <w:embedBold r:id="rId10" w:fontKey="{BBCABA44-A59C-5043-91E8-4C13EC5802EB}"/>
  </w:font>
  <w:font w:name="Google Sans Text">
    <w:altName w:val="Calibri"/>
    <w:panose1 w:val="020B0604020202020204"/>
    <w:charset w:val="00"/>
    <w:family w:val="auto"/>
    <w:pitch w:val="default"/>
    <w:embedRegular r:id="rId11" w:fontKey="{63668E5B-0358-BF4C-8ED3-4894D3326E77}"/>
    <w:embedBold r:id="rId12" w:fontKey="{3DA1C886-4CF2-C643-A1ED-93F2C405F632}"/>
  </w:font>
  <w:font w:name="Calibri Light">
    <w:panose1 w:val="020F0302020204030204"/>
    <w:charset w:val="00"/>
    <w:family w:val="swiss"/>
    <w:pitch w:val="variable"/>
    <w:sig w:usb0="E0002AFF" w:usb1="C000247B" w:usb2="00000009" w:usb3="00000000" w:csb0="000001FF" w:csb1="00000000"/>
    <w:embedRegular r:id="rId13" w:fontKey="{D3358E15-67F0-3E42-AAEF-698BAAFE84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a"/>
      </w:rPr>
      <w:id w:val="604543470"/>
      <w:docPartObj>
        <w:docPartGallery w:val="Page Numbers (Bottom of Page)"/>
        <w:docPartUnique/>
      </w:docPartObj>
    </w:sdtPr>
    <w:sdtContent>
      <w:p w14:paraId="1D41F791" w14:textId="08286DAE" w:rsidR="006545EF" w:rsidRDefault="006545EF" w:rsidP="003D1BE1">
        <w:pPr>
          <w:pStyle w:val="a8"/>
          <w:framePr w:wrap="none" w:vAnchor="text" w:hAnchor="margin" w:xAlign="right" w:y="1"/>
          <w:rPr>
            <w:rStyle w:val="aa"/>
          </w:rPr>
        </w:pPr>
        <w:r>
          <w:rPr>
            <w:rStyle w:val="aa"/>
          </w:rPr>
          <w:fldChar w:fldCharType="begin"/>
        </w:r>
        <w:r>
          <w:rPr>
            <w:rStyle w:val="aa"/>
          </w:rPr>
          <w:instrText xml:space="preserve"> PAGE </w:instrText>
        </w:r>
        <w:r>
          <w:rPr>
            <w:rStyle w:val="aa"/>
          </w:rPr>
          <w:fldChar w:fldCharType="separate"/>
        </w:r>
        <w:r>
          <w:rPr>
            <w:rStyle w:val="aa"/>
          </w:rPr>
          <w:fldChar w:fldCharType="end"/>
        </w:r>
      </w:p>
    </w:sdtContent>
  </w:sdt>
  <w:p w14:paraId="3D6ED867" w14:textId="77777777" w:rsidR="006545EF" w:rsidRDefault="006545EF" w:rsidP="006545EF">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a"/>
      </w:rPr>
      <w:id w:val="795179174"/>
      <w:docPartObj>
        <w:docPartGallery w:val="Page Numbers (Bottom of Page)"/>
        <w:docPartUnique/>
      </w:docPartObj>
    </w:sdtPr>
    <w:sdtContent>
      <w:p w14:paraId="473F2ADC" w14:textId="6F7FC4FF" w:rsidR="006545EF" w:rsidRDefault="006545EF" w:rsidP="003D1BE1">
        <w:pPr>
          <w:pStyle w:val="a8"/>
          <w:framePr w:wrap="none" w:vAnchor="text" w:hAnchor="margin" w:xAlign="right" w:y="1"/>
          <w:rPr>
            <w:rStyle w:val="aa"/>
          </w:rPr>
        </w:pPr>
        <w:r>
          <w:rPr>
            <w:rStyle w:val="aa"/>
          </w:rPr>
          <w:fldChar w:fldCharType="begin"/>
        </w:r>
        <w:r>
          <w:rPr>
            <w:rStyle w:val="aa"/>
          </w:rPr>
          <w:instrText xml:space="preserve"> PAGE </w:instrText>
        </w:r>
        <w:r>
          <w:rPr>
            <w:rStyle w:val="aa"/>
          </w:rPr>
          <w:fldChar w:fldCharType="separate"/>
        </w:r>
        <w:r>
          <w:rPr>
            <w:rStyle w:val="aa"/>
            <w:noProof/>
          </w:rPr>
          <w:t>6</w:t>
        </w:r>
        <w:r>
          <w:rPr>
            <w:rStyle w:val="aa"/>
          </w:rPr>
          <w:fldChar w:fldCharType="end"/>
        </w:r>
      </w:p>
    </w:sdtContent>
  </w:sdt>
  <w:p w14:paraId="18A68572" w14:textId="77777777" w:rsidR="006545EF" w:rsidRPr="00177B08" w:rsidRDefault="006545EF" w:rsidP="006545EF">
    <w:pPr>
      <w:ind w:right="360"/>
      <w:jc w:val="both"/>
      <w:rPr>
        <w:rFonts w:ascii="Calibri Light" w:eastAsia="Times New Roman" w:hAnsi="Calibri Light" w:cs="Calibri Light"/>
        <w:sz w:val="16"/>
        <w:szCs w:val="16"/>
        <w:lang w:val="en-US"/>
      </w:rPr>
    </w:pPr>
    <w:r w:rsidRPr="00177B08">
      <w:rPr>
        <w:rFonts w:ascii="Calibri Light" w:eastAsia="Times New Roman" w:hAnsi="Calibri Light" w:cs="Calibri Light"/>
        <w:sz w:val="16"/>
        <w:szCs w:val="16"/>
        <w:lang w:val="en-US"/>
      </w:rPr>
      <w:t>Legal Disclaimer | Privacy Policy</w:t>
    </w:r>
  </w:p>
  <w:p w14:paraId="475A2C2C" w14:textId="77777777" w:rsidR="006545EF" w:rsidRPr="000666EF" w:rsidRDefault="006545EF" w:rsidP="006545EF">
    <w:pPr>
      <w:pStyle w:val="a8"/>
      <w:ind w:right="360"/>
      <w:rPr>
        <w:lang w:val="en-US"/>
      </w:rPr>
    </w:pPr>
    <w:r w:rsidRPr="00177B08">
      <w:rPr>
        <w:rFonts w:ascii="Calibri Light" w:eastAsia="Times New Roman" w:hAnsi="Calibri Light" w:cs="Calibri Light"/>
        <w:sz w:val="16"/>
        <w:szCs w:val="16"/>
        <w:lang w:val="en-US"/>
      </w:rPr>
      <w:t xml:space="preserve">© Copyright </w:t>
    </w:r>
    <w:r w:rsidRPr="00F85ED7">
      <w:rPr>
        <w:rFonts w:ascii="Calibri Light" w:eastAsia="Times New Roman" w:hAnsi="Calibri Light" w:cs="Calibri Light"/>
        <w:sz w:val="16"/>
        <w:szCs w:val="16"/>
        <w:lang w:val="en-US"/>
      </w:rPr>
      <w:t>Mikhail Sorokin Entrepreneur NUCON</w:t>
    </w:r>
    <w:r w:rsidRPr="00177B08">
      <w:rPr>
        <w:rFonts w:ascii="Calibri Light" w:eastAsia="Times New Roman" w:hAnsi="Calibri Light" w:cs="Calibri Light"/>
        <w:sz w:val="16"/>
        <w:szCs w:val="16"/>
        <w:lang w:val="en-US"/>
      </w:rPr>
      <w:t>, 202</w:t>
    </w:r>
    <w:r>
      <w:rPr>
        <w:rFonts w:ascii="Calibri Light" w:eastAsia="Times New Roman" w:hAnsi="Calibri Light" w:cs="Calibri Light"/>
        <w:sz w:val="16"/>
        <w:szCs w:val="16"/>
        <w:lang w:val="en-US"/>
      </w:rPr>
      <w:t>5</w:t>
    </w:r>
    <w:r w:rsidRPr="00177B08">
      <w:rPr>
        <w:rFonts w:ascii="Calibri Light" w:eastAsia="Times New Roman" w:hAnsi="Calibri Light" w:cs="Calibri Light"/>
        <w:sz w:val="16"/>
        <w:szCs w:val="16"/>
        <w:lang w:val="en-US"/>
      </w:rPr>
      <w:t xml:space="preserve">. All rights reserved. Reproduction, adaptation, or translation without permission is prohibited except as allowed under the international copyright laws. All the text, content, graphics, design, and other works are the copyrighted works of </w:t>
    </w:r>
    <w:r w:rsidRPr="00F85ED7">
      <w:rPr>
        <w:rFonts w:ascii="Calibri Light" w:eastAsia="Times New Roman" w:hAnsi="Calibri Light" w:cs="Calibri Light"/>
        <w:sz w:val="16"/>
        <w:szCs w:val="16"/>
        <w:lang w:val="en-US"/>
      </w:rPr>
      <w:t>Mikhail Sorokin Entrepreneur NUCON</w:t>
    </w:r>
    <w:r w:rsidRPr="00177B08">
      <w:rPr>
        <w:rFonts w:ascii="Calibri Light" w:eastAsia="Times New Roman" w:hAnsi="Calibri Light" w:cs="Calibri Light"/>
        <w:sz w:val="16"/>
        <w:szCs w:val="16"/>
        <w:lang w:val="en-US"/>
      </w:rPr>
      <w:t>,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6C2CE" w14:textId="77777777" w:rsidR="009F712D" w:rsidRDefault="009F712D" w:rsidP="006545EF">
      <w:r>
        <w:separator/>
      </w:r>
    </w:p>
  </w:footnote>
  <w:footnote w:type="continuationSeparator" w:id="0">
    <w:p w14:paraId="0C20363B" w14:textId="77777777" w:rsidR="009F712D" w:rsidRDefault="009F712D" w:rsidP="00654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E29FC" w14:textId="20EC9FDE" w:rsidR="006545EF" w:rsidRDefault="006545EF">
    <w:pPr>
      <w:pStyle w:val="a6"/>
    </w:pPr>
    <w:r w:rsidRPr="009951E6">
      <w:drawing>
        <wp:anchor distT="0" distB="0" distL="114300" distR="114300" simplePos="0" relativeHeight="251659264" behindDoc="0" locked="0" layoutInCell="1" allowOverlap="1" wp14:anchorId="30BDC205" wp14:editId="283E5270">
          <wp:simplePos x="0" y="0"/>
          <wp:positionH relativeFrom="column">
            <wp:posOffset>0</wp:posOffset>
          </wp:positionH>
          <wp:positionV relativeFrom="paragraph">
            <wp:posOffset>156575</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B2774"/>
    <w:multiLevelType w:val="multilevel"/>
    <w:tmpl w:val="B00C5E0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23702991"/>
    <w:multiLevelType w:val="multilevel"/>
    <w:tmpl w:val="B0E252A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3FE73138"/>
    <w:multiLevelType w:val="multilevel"/>
    <w:tmpl w:val="F63E291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192113502">
    <w:abstractNumId w:val="0"/>
  </w:num>
  <w:num w:numId="2" w16cid:durableId="1401708752">
    <w:abstractNumId w:val="1"/>
  </w:num>
  <w:num w:numId="3" w16cid:durableId="883836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749"/>
    <w:rsid w:val="00447749"/>
    <w:rsid w:val="00603180"/>
    <w:rsid w:val="006545EF"/>
    <w:rsid w:val="009F712D"/>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5BFACCF5"/>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BG"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paragraph" w:styleId="a6">
    <w:name w:val="header"/>
    <w:basedOn w:val="a"/>
    <w:link w:val="a7"/>
    <w:uiPriority w:val="99"/>
    <w:unhideWhenUsed/>
    <w:rsid w:val="006545EF"/>
    <w:pPr>
      <w:tabs>
        <w:tab w:val="center" w:pos="4513"/>
        <w:tab w:val="right" w:pos="9026"/>
      </w:tabs>
    </w:pPr>
  </w:style>
  <w:style w:type="character" w:customStyle="1" w:styleId="a7">
    <w:name w:val="Верхний колонтитул Знак"/>
    <w:basedOn w:val="a0"/>
    <w:link w:val="a6"/>
    <w:uiPriority w:val="99"/>
    <w:rsid w:val="006545EF"/>
  </w:style>
  <w:style w:type="paragraph" w:styleId="a8">
    <w:name w:val="footer"/>
    <w:basedOn w:val="a"/>
    <w:link w:val="a9"/>
    <w:uiPriority w:val="99"/>
    <w:unhideWhenUsed/>
    <w:qFormat/>
    <w:rsid w:val="006545EF"/>
    <w:pPr>
      <w:tabs>
        <w:tab w:val="center" w:pos="4513"/>
        <w:tab w:val="right" w:pos="9026"/>
      </w:tabs>
    </w:pPr>
  </w:style>
  <w:style w:type="character" w:customStyle="1" w:styleId="a9">
    <w:name w:val="Нижний колонтитул Знак"/>
    <w:basedOn w:val="a0"/>
    <w:link w:val="a8"/>
    <w:uiPriority w:val="99"/>
    <w:rsid w:val="006545EF"/>
  </w:style>
  <w:style w:type="character" w:styleId="aa">
    <w:name w:val="page number"/>
    <w:basedOn w:val="a0"/>
    <w:uiPriority w:val="99"/>
    <w:semiHidden/>
    <w:unhideWhenUsed/>
    <w:rsid w:val="006545EF"/>
  </w:style>
  <w:style w:type="paragraph" w:styleId="20">
    <w:name w:val="toc 2"/>
    <w:basedOn w:val="a"/>
    <w:next w:val="a"/>
    <w:autoRedefine/>
    <w:uiPriority w:val="39"/>
    <w:unhideWhenUsed/>
    <w:rsid w:val="006545EF"/>
    <w:pPr>
      <w:spacing w:after="100"/>
      <w:ind w:left="220"/>
    </w:pPr>
  </w:style>
  <w:style w:type="paragraph" w:styleId="30">
    <w:name w:val="toc 3"/>
    <w:basedOn w:val="a"/>
    <w:next w:val="a"/>
    <w:autoRedefine/>
    <w:uiPriority w:val="39"/>
    <w:unhideWhenUsed/>
    <w:rsid w:val="006545EF"/>
    <w:pPr>
      <w:spacing w:after="100"/>
      <w:ind w:left="440"/>
    </w:pPr>
  </w:style>
  <w:style w:type="character" w:styleId="ab">
    <w:name w:val="Hyperlink"/>
    <w:basedOn w:val="a0"/>
    <w:uiPriority w:val="99"/>
    <w:unhideWhenUsed/>
    <w:rsid w:val="006545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orld-nuclear.org/information-library/country-profiles/countries-o-s/poland" TargetMode="External"/><Relationship Id="rId13" Type="http://schemas.openxmlformats.org/officeDocument/2006/relationships/hyperlink" Target="https://www.ey.com/en_ro/newsroom/2025/03/capital-costs-challenge-how-to-overcome-the-issue-in-cesa-" TargetMode="External"/><Relationship Id="rId18" Type="http://schemas.openxmlformats.org/officeDocument/2006/relationships/hyperlink" Target="https://ceenergynews.com/renewables/energy-week-western-balkans-2025-2/"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georgiapower.com/about/company/filings/irp.html" TargetMode="External"/><Relationship Id="rId7" Type="http://schemas.openxmlformats.org/officeDocument/2006/relationships/image" Target="media/image1.png"/><Relationship Id="rId12" Type="http://schemas.openxmlformats.org/officeDocument/2006/relationships/hyperlink" Target="https://europe-nuclear-smr.ltsinnovate.com/ConferenceNews/1296.html" TargetMode="External"/><Relationship Id="rId17" Type="http://schemas.openxmlformats.org/officeDocument/2006/relationships/hyperlink" Target="https://www.iea.org/reports/lithuania-2025"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aecon.com/press-room/news/2025/09/16/aecon-fermi-energia-agreement" TargetMode="External"/><Relationship Id="rId20" Type="http://schemas.openxmlformats.org/officeDocument/2006/relationships/hyperlink" Target="https://world-nuclear.org/our-association/publications/world-nuclear-performance-report/armenia-world-nuclear-performance-repor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sw.waw.pl/en/publikacje/analyses/2025-09-17/dark-clouds-over-paks-ii-no-approval-hungarys-state-aid" TargetMode="External"/><Relationship Id="rId24" Type="http://schemas.openxmlformats.org/officeDocument/2006/relationships/hyperlink" Target="https://europe-nuclear-smr.ltsinnovate.com/ConferenceNews/1350.html" TargetMode="External"/><Relationship Id="rId5" Type="http://schemas.openxmlformats.org/officeDocument/2006/relationships/footnotes" Target="footnotes.xml"/><Relationship Id="rId15" Type="http://schemas.openxmlformats.org/officeDocument/2006/relationships/hyperlink" Target="https://www.nucnet.org/news/bulgaria-plans-2026-final-investment-decision-for-two-new-kozloduy-units-10-5-2025" TargetMode="External"/><Relationship Id="rId23" Type="http://schemas.openxmlformats.org/officeDocument/2006/relationships/hyperlink" Target="https://www.nucnet.org/news/nuclear-will-break-records-in-2025-but-major-challenges-remain-in-us-and-europe-says-iea-1-4-2025" TargetMode="External"/><Relationship Id="rId28" Type="http://schemas.openxmlformats.org/officeDocument/2006/relationships/fontTable" Target="fontTable.xml"/><Relationship Id="rId10" Type="http://schemas.openxmlformats.org/officeDocument/2006/relationships/hyperlink" Target="https://ceenergynews.com/nuclear/czechia-eu-approval-dukovany-funding/" TargetMode="External"/><Relationship Id="rId19" Type="http://schemas.openxmlformats.org/officeDocument/2006/relationships/hyperlink" Target="https://ceenergynews.com/nuclear/european-industrial-alliance-on-smrs-unveils-strategic-action-plan/" TargetMode="External"/><Relationship Id="rId4" Type="http://schemas.openxmlformats.org/officeDocument/2006/relationships/webSettings" Target="webSettings.xml"/><Relationship Id="rId9" Type="http://schemas.openxmlformats.org/officeDocument/2006/relationships/hyperlink" Target="https://www.uatom.org/en/2025/08/29/site-for-the-first-smr-in-poland-selected.html" TargetMode="External"/><Relationship Id="rId14" Type="http://schemas.openxmlformats.org/officeDocument/2006/relationships/hyperlink" Target="https://www.nucnet.org/news/bulgaria-chooses-us-based-citi-to-coordinate-financing-for-kozloduy-nuclear-project-7-1-2025" TargetMode="External"/><Relationship Id="rId22" Type="http://schemas.openxmlformats.org/officeDocument/2006/relationships/hyperlink" Target="https://www.twobirds.com/en/insights/2025/energy-outlook-2025-nuclear-energy" TargetMode="External"/><Relationship Id="rId27"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3299</Words>
  <Characters>18810</Characters>
  <Application>Microsoft Office Word</Application>
  <DocSecurity>0</DocSecurity>
  <Lines>156</Lines>
  <Paragraphs>44</Paragraphs>
  <ScaleCrop>false</ScaleCrop>
  <Company/>
  <LinksUpToDate>false</LinksUpToDate>
  <CharactersWithSpaces>22065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2025-10-05T19:18:00Z</dcterms:created>
  <dcterms:modified xsi:type="dcterms:W3CDTF">2025-10-05T19:24:00Z</dcterms:modified>
</cp:coreProperties>
</file>