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768F9" w14:textId="7D75A0EF" w:rsidR="00DB2E0A" w:rsidRDefault="00DB2E0A" w:rsidP="00DA3DE5">
      <w:pPr>
        <w:pStyle w:val="2"/>
        <w:spacing w:before="0" w:after="120" w:line="275" w:lineRule="auto"/>
        <w:rPr>
          <w:rFonts w:ascii="Google Sans" w:eastAsia="Google Sans" w:hAnsi="Google Sans" w:cs="Google Sans"/>
          <w:color w:val="1B1C1D"/>
          <w:lang w:val="ru-RU"/>
        </w:rPr>
      </w:pPr>
      <w:r w:rsidRPr="002D0DD2">
        <w:rPr>
          <w:noProof/>
        </w:rPr>
        <w:drawing>
          <wp:anchor distT="0" distB="0" distL="114300" distR="114300" simplePos="0" relativeHeight="251659264" behindDoc="0" locked="0" layoutInCell="1" allowOverlap="1" wp14:anchorId="24ABF06E" wp14:editId="54256FDB">
            <wp:simplePos x="0" y="0"/>
            <wp:positionH relativeFrom="column">
              <wp:posOffset>0</wp:posOffset>
            </wp:positionH>
            <wp:positionV relativeFrom="paragraph">
              <wp:posOffset>1</wp:posOffset>
            </wp:positionV>
            <wp:extent cx="3019494" cy="592188"/>
            <wp:effectExtent l="0" t="0" r="0" b="508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6"/>
                    <a:srcRect b="6459"/>
                    <a:stretch/>
                  </pic:blipFill>
                  <pic:spPr bwMode="auto">
                    <a:xfrm>
                      <a:off x="0" y="0"/>
                      <a:ext cx="3102724" cy="608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C6BF4" w14:textId="77777777" w:rsidR="00DB2E0A" w:rsidRDefault="00DB2E0A" w:rsidP="00DA3DE5">
      <w:pPr>
        <w:pStyle w:val="2"/>
        <w:spacing w:before="0" w:after="120" w:line="275" w:lineRule="auto"/>
        <w:rPr>
          <w:rFonts w:ascii="Google Sans" w:eastAsia="Google Sans" w:hAnsi="Google Sans" w:cs="Google Sans"/>
          <w:color w:val="1B1C1D"/>
          <w:lang w:val="ru-RU"/>
        </w:rPr>
      </w:pPr>
    </w:p>
    <w:p w14:paraId="04D4A338" w14:textId="77777777" w:rsidR="00DB2E0A" w:rsidRDefault="00DB2E0A" w:rsidP="00DA3DE5">
      <w:pPr>
        <w:pStyle w:val="2"/>
        <w:spacing w:before="0" w:after="120" w:line="275" w:lineRule="auto"/>
        <w:rPr>
          <w:rFonts w:ascii="Google Sans" w:eastAsia="Google Sans" w:hAnsi="Google Sans" w:cs="Google Sans"/>
          <w:color w:val="1B1C1D"/>
          <w:lang w:val="ru-RU"/>
        </w:rPr>
      </w:pPr>
    </w:p>
    <w:p w14:paraId="42D0D482" w14:textId="0674A145" w:rsidR="00DA3DE5" w:rsidRDefault="00C7598B" w:rsidP="00DA3DE5">
      <w:pPr>
        <w:pStyle w:val="2"/>
        <w:spacing w:before="0" w:after="120" w:line="275" w:lineRule="auto"/>
        <w:rPr>
          <w:rFonts w:ascii="Google Sans" w:eastAsia="Google Sans" w:hAnsi="Google Sans" w:cs="Google Sans"/>
          <w:color w:val="1B1C1D"/>
        </w:rPr>
      </w:pPr>
      <w:r>
        <w:rPr>
          <w:rFonts w:ascii="Google Sans" w:eastAsia="Google Sans" w:hAnsi="Google Sans" w:cs="Google Sans"/>
          <w:color w:val="1B1C1D"/>
          <w:lang w:val="ru-RU"/>
        </w:rPr>
        <w:t>П</w:t>
      </w:r>
      <w:r w:rsidR="00DA3DE5">
        <w:rPr>
          <w:rFonts w:ascii="Google Sans" w:eastAsia="Google Sans" w:hAnsi="Google Sans" w:cs="Google Sans"/>
          <w:color w:val="1B1C1D"/>
        </w:rPr>
        <w:t xml:space="preserve">еречень задач и услуг </w:t>
      </w:r>
      <w:r>
        <w:rPr>
          <w:rFonts w:ascii="Google Sans" w:eastAsia="Google Sans" w:hAnsi="Google Sans" w:cs="Google Sans"/>
          <w:color w:val="1B1C1D"/>
        </w:rPr>
        <w:t xml:space="preserve">CONSILIO </w:t>
      </w:r>
      <w:r>
        <w:rPr>
          <w:rFonts w:ascii="Google Sans" w:eastAsia="Google Sans" w:hAnsi="Google Sans" w:cs="Google Sans"/>
          <w:color w:val="1B1C1D"/>
          <w:lang w:val="ru-RU"/>
        </w:rPr>
        <w:t>В</w:t>
      </w:r>
      <w:r>
        <w:rPr>
          <w:rFonts w:ascii="Google Sans" w:eastAsia="Google Sans" w:hAnsi="Google Sans" w:cs="Google Sans"/>
          <w:color w:val="1B1C1D"/>
        </w:rPr>
        <w:t xml:space="preserve"> </w:t>
      </w:r>
      <w:r>
        <w:rPr>
          <w:rFonts w:ascii="Google Sans" w:eastAsia="Google Sans" w:hAnsi="Google Sans" w:cs="Google Sans"/>
          <w:color w:val="1B1C1D"/>
        </w:rPr>
        <w:t xml:space="preserve">PR </w:t>
      </w:r>
      <w:r>
        <w:rPr>
          <w:rFonts w:ascii="Google Sans" w:eastAsia="Google Sans" w:hAnsi="Google Sans" w:cs="Google Sans"/>
          <w:color w:val="1B1C1D"/>
          <w:lang w:val="en-US"/>
        </w:rPr>
        <w:t>BEOGRADE</w:t>
      </w:r>
      <w:r w:rsidRPr="00C7598B">
        <w:rPr>
          <w:rFonts w:ascii="Google Sans" w:eastAsia="Google Sans" w:hAnsi="Google Sans" w:cs="Google Sans"/>
          <w:color w:val="1B1C1D"/>
          <w:lang w:val="ru-RU"/>
        </w:rPr>
        <w:t xml:space="preserve"> </w:t>
      </w:r>
      <w:r>
        <w:rPr>
          <w:rFonts w:ascii="Google Sans" w:eastAsia="Google Sans" w:hAnsi="Google Sans" w:cs="Google Sans"/>
          <w:color w:val="1B1C1D"/>
        </w:rPr>
        <w:t>- NUCON</w:t>
      </w:r>
      <w:r>
        <w:rPr>
          <w:rFonts w:ascii="Google Sans" w:eastAsia="Google Sans" w:hAnsi="Google Sans" w:cs="Google Sans"/>
          <w:color w:val="1B1C1D"/>
        </w:rPr>
        <w:t xml:space="preserve"> </w:t>
      </w:r>
      <w:r>
        <w:rPr>
          <w:rFonts w:ascii="Google Sans" w:eastAsia="Google Sans" w:hAnsi="Google Sans" w:cs="Google Sans"/>
          <w:color w:val="1B1C1D"/>
        </w:rPr>
        <w:t xml:space="preserve">PR </w:t>
      </w:r>
      <w:r>
        <w:rPr>
          <w:rFonts w:ascii="Google Sans" w:eastAsia="Google Sans" w:hAnsi="Google Sans" w:cs="Google Sans"/>
          <w:color w:val="1B1C1D"/>
          <w:lang w:val="en-US"/>
        </w:rPr>
        <w:t>BEOGRADE</w:t>
      </w:r>
    </w:p>
    <w:p w14:paraId="1A11CA71" w14:textId="77777777" w:rsidR="00BC74F4" w:rsidRDefault="00BC74F4">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122901B3" w14:textId="77777777" w:rsidR="006514C6" w:rsidRDefault="006514C6">
      <w:pPr>
        <w:pBdr>
          <w:top w:val="nil"/>
          <w:left w:val="nil"/>
          <w:bottom w:val="nil"/>
          <w:right w:val="nil"/>
          <w:between w:val="nil"/>
        </w:pBdr>
        <w:spacing w:after="240" w:line="275" w:lineRule="auto"/>
        <w:rPr>
          <w:rFonts w:ascii="Google Sans Text" w:eastAsia="Google Sans Text" w:hAnsi="Google Sans Text" w:cs="Google Sans Text"/>
          <w:color w:val="1B1C1D"/>
        </w:rPr>
      </w:pPr>
    </w:p>
    <w:tbl>
      <w:tblPr>
        <w:tblStyle w:val="a8"/>
        <w:tblW w:w="5000" w:type="pct"/>
        <w:tblLook w:val="0600" w:firstRow="0" w:lastRow="0" w:firstColumn="0" w:lastColumn="0" w:noHBand="1" w:noVBand="1"/>
      </w:tblPr>
      <w:tblGrid>
        <w:gridCol w:w="2611"/>
        <w:gridCol w:w="2525"/>
        <w:gridCol w:w="1906"/>
        <w:gridCol w:w="2476"/>
        <w:gridCol w:w="3432"/>
      </w:tblGrid>
      <w:tr w:rsidR="0025628C" w:rsidRPr="00DB2E0A" w14:paraId="45756BCE" w14:textId="77777777" w:rsidTr="0025628C">
        <w:trPr>
          <w:tblHeader/>
        </w:trPr>
        <w:tc>
          <w:tcPr>
            <w:tcW w:w="1008" w:type="pct"/>
            <w:shd w:val="clear" w:color="auto" w:fill="DBE5F1" w:themeFill="accent1" w:themeFillTint="33"/>
          </w:tcPr>
          <w:p w14:paraId="76619E8F" w14:textId="77777777" w:rsidR="0025628C" w:rsidRPr="00DB2E0A" w:rsidRDefault="0025628C">
            <w:pPr>
              <w:pBdr>
                <w:top w:val="nil"/>
                <w:left w:val="nil"/>
                <w:bottom w:val="nil"/>
                <w:right w:val="nil"/>
                <w:between w:val="nil"/>
              </w:pBdr>
              <w:spacing w:before="120" w:after="120" w:line="275" w:lineRule="auto"/>
              <w:rPr>
                <w:rFonts w:ascii="Google Sans Text" w:eastAsia="Google Sans Text" w:hAnsi="Google Sans Text" w:cs="Google Sans Text"/>
                <w:b/>
                <w:bCs/>
                <w:color w:val="1B1C1D"/>
                <w:lang w:val="ru-RU"/>
              </w:rPr>
            </w:pPr>
            <w:r w:rsidRPr="00DB2E0A">
              <w:rPr>
                <w:rFonts w:ascii="Google Sans Text" w:eastAsia="Google Sans Text" w:hAnsi="Google Sans Text" w:cs="Google Sans Text"/>
                <w:b/>
                <w:bCs/>
                <w:color w:val="1B1C1D"/>
              </w:rPr>
              <w:t>Кате</w:t>
            </w:r>
            <w:proofErr w:type="spellStart"/>
            <w:r w:rsidRPr="00DB2E0A">
              <w:rPr>
                <w:rFonts w:ascii="Google Sans Text" w:eastAsia="Google Sans Text" w:hAnsi="Google Sans Text" w:cs="Google Sans Text"/>
                <w:b/>
                <w:bCs/>
                <w:color w:val="1B1C1D"/>
                <w:lang w:val="ru-RU"/>
              </w:rPr>
              <w:t>гория</w:t>
            </w:r>
            <w:proofErr w:type="spellEnd"/>
          </w:p>
        </w:tc>
        <w:tc>
          <w:tcPr>
            <w:tcW w:w="975" w:type="pct"/>
            <w:shd w:val="clear" w:color="auto" w:fill="DBE5F1" w:themeFill="accent1" w:themeFillTint="33"/>
          </w:tcPr>
          <w:p w14:paraId="1A0CDCB2" w14:textId="77777777" w:rsidR="0025628C" w:rsidRPr="00DB2E0A" w:rsidRDefault="0025628C">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sidRPr="00DB2E0A">
              <w:rPr>
                <w:rFonts w:ascii="Google Sans Text" w:eastAsia="Google Sans Text" w:hAnsi="Google Sans Text" w:cs="Google Sans Text"/>
                <w:b/>
                <w:bCs/>
                <w:color w:val="1B1C1D"/>
              </w:rPr>
              <w:t>Задача/Услуга</w:t>
            </w:r>
          </w:p>
        </w:tc>
        <w:tc>
          <w:tcPr>
            <w:tcW w:w="736" w:type="pct"/>
            <w:shd w:val="clear" w:color="auto" w:fill="DBE5F1" w:themeFill="accent1" w:themeFillTint="33"/>
          </w:tcPr>
          <w:p w14:paraId="7A7B5F2B" w14:textId="77777777" w:rsidR="0025628C" w:rsidRPr="00DB2E0A" w:rsidRDefault="0025628C">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sidRPr="00DB2E0A">
              <w:rPr>
                <w:rFonts w:ascii="Google Sans Text" w:eastAsia="Google Sans Text" w:hAnsi="Google Sans Text" w:cs="Google Sans Text"/>
                <w:b/>
                <w:bCs/>
                <w:color w:val="1B1C1D"/>
              </w:rPr>
              <w:t>Исполнитель</w:t>
            </w:r>
          </w:p>
        </w:tc>
        <w:tc>
          <w:tcPr>
            <w:tcW w:w="956" w:type="pct"/>
            <w:shd w:val="clear" w:color="auto" w:fill="DBE5F1" w:themeFill="accent1" w:themeFillTint="33"/>
          </w:tcPr>
          <w:p w14:paraId="69FEF1E6" w14:textId="77777777" w:rsidR="0025628C" w:rsidRPr="00DB2E0A" w:rsidRDefault="0025628C">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sidRPr="00DB2E0A">
              <w:rPr>
                <w:rFonts w:ascii="Google Sans Text" w:eastAsia="Google Sans Text" w:hAnsi="Google Sans Text" w:cs="Google Sans Text"/>
                <w:b/>
                <w:bCs/>
                <w:color w:val="1B1C1D"/>
              </w:rPr>
              <w:t>Целевой Заказчик (Сербия)</w:t>
            </w:r>
          </w:p>
        </w:tc>
        <w:tc>
          <w:tcPr>
            <w:tcW w:w="1326" w:type="pct"/>
            <w:shd w:val="clear" w:color="auto" w:fill="DBE5F1" w:themeFill="accent1" w:themeFillTint="33"/>
          </w:tcPr>
          <w:p w14:paraId="7492F95D" w14:textId="77777777" w:rsidR="0025628C" w:rsidRPr="00DB2E0A" w:rsidRDefault="0025628C">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sidRPr="00DB2E0A">
              <w:rPr>
                <w:rFonts w:ascii="Google Sans Text" w:eastAsia="Google Sans Text" w:hAnsi="Google Sans Text" w:cs="Google Sans Text"/>
                <w:b/>
                <w:bCs/>
                <w:color w:val="1B1C1D"/>
              </w:rPr>
              <w:t>Примечание</w:t>
            </w:r>
          </w:p>
        </w:tc>
      </w:tr>
      <w:tr w:rsidR="0025628C" w14:paraId="58594032" w14:textId="77777777" w:rsidTr="0025628C">
        <w:tc>
          <w:tcPr>
            <w:tcW w:w="1008" w:type="pct"/>
          </w:tcPr>
          <w:p w14:paraId="2D467280"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 xml:space="preserve">I. СТРАТЕГИЧЕСКОЕ И РЕГУЛЯТОРНОЕ </w:t>
            </w:r>
            <w:r w:rsidRPr="00DA3DE5">
              <w:rPr>
                <w:rFonts w:ascii="Google Sans" w:eastAsia="Google Sans" w:hAnsi="Google Sans" w:cs="Google Sans"/>
                <w:b/>
                <w:bCs/>
                <w:color w:val="1B1C1D"/>
              </w:rPr>
              <w:t>КОНСУЛЬТИРОВАНИЕ</w:t>
            </w:r>
          </w:p>
        </w:tc>
        <w:tc>
          <w:tcPr>
            <w:tcW w:w="975" w:type="pct"/>
          </w:tcPr>
          <w:p w14:paraId="02A358CB"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Юридическая экспертиза (Ядерное право)</w:t>
            </w:r>
          </w:p>
        </w:tc>
        <w:tc>
          <w:tcPr>
            <w:tcW w:w="736" w:type="pct"/>
          </w:tcPr>
          <w:p w14:paraId="4F921160"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31B18178"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Правительство Республики Сербия</w:t>
            </w:r>
          </w:p>
        </w:tc>
        <w:tc>
          <w:tcPr>
            <w:tcW w:w="1326" w:type="pct"/>
          </w:tcPr>
          <w:p w14:paraId="01C0B12A"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color w:val="1B1C1D"/>
              </w:rPr>
              <w:t>Административное сопровождение разработки полного пакета национального ядерного законодательства.</w:t>
            </w:r>
            <w:r>
              <w:rPr>
                <w:rFonts w:ascii="Google Sans Text" w:eastAsia="Google Sans Text" w:hAnsi="Google Sans Text" w:cs="Google Sans Text"/>
                <w:b/>
                <w:color w:val="1B1C1D"/>
              </w:rPr>
              <w:t>Требуется внешний эксперт.</w:t>
            </w:r>
          </w:p>
        </w:tc>
      </w:tr>
      <w:tr w:rsidR="0025628C" w14:paraId="596D45FD" w14:textId="77777777" w:rsidTr="0025628C">
        <w:tc>
          <w:tcPr>
            <w:tcW w:w="1008" w:type="pct"/>
          </w:tcPr>
          <w:p w14:paraId="730090E2"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E0CF5">
              <w:rPr>
                <w:rFonts w:ascii="Google Sans Text" w:eastAsia="Google Sans Text" w:hAnsi="Google Sans Text" w:cs="Google Sans Text"/>
                <w:b/>
                <w:color w:val="1B1C1D"/>
              </w:rPr>
              <w:t xml:space="preserve">I. СТРАТЕГИЧЕСКОЕ И РЕГУЛЯТОРНОЕ </w:t>
            </w:r>
            <w:r w:rsidRPr="003E0CF5">
              <w:rPr>
                <w:rFonts w:ascii="Google Sans" w:eastAsia="Google Sans" w:hAnsi="Google Sans" w:cs="Google Sans"/>
                <w:b/>
                <w:bCs/>
                <w:color w:val="1B1C1D"/>
              </w:rPr>
              <w:t>КОНСУЛЬТИРОВАНИЕ</w:t>
            </w:r>
          </w:p>
        </w:tc>
        <w:tc>
          <w:tcPr>
            <w:tcW w:w="975" w:type="pct"/>
          </w:tcPr>
          <w:p w14:paraId="77C33352"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Создание Регулирующего органа</w:t>
            </w:r>
          </w:p>
        </w:tc>
        <w:tc>
          <w:tcPr>
            <w:tcW w:w="736" w:type="pct"/>
          </w:tcPr>
          <w:p w14:paraId="1694CF59"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65E334DD"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color w:val="1B1C1D"/>
              </w:rPr>
              <w:t xml:space="preserve">Директорат </w:t>
            </w:r>
            <w:r>
              <w:rPr>
                <w:rFonts w:ascii="Google Sans Text" w:eastAsia="Google Sans Text" w:hAnsi="Google Sans Text" w:cs="Google Sans Text"/>
                <w:b/>
                <w:color w:val="1B1C1D"/>
              </w:rPr>
              <w:t>DRNSBS</w:t>
            </w:r>
          </w:p>
        </w:tc>
        <w:tc>
          <w:tcPr>
            <w:tcW w:w="1326" w:type="pct"/>
          </w:tcPr>
          <w:p w14:paraId="586FF094"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Консультирование по организационной структуре, разработке регламентов и программ сертификации персонала.</w:t>
            </w:r>
          </w:p>
        </w:tc>
      </w:tr>
      <w:tr w:rsidR="0025628C" w14:paraId="5BC563E8" w14:textId="77777777" w:rsidTr="0025628C">
        <w:tc>
          <w:tcPr>
            <w:tcW w:w="1008" w:type="pct"/>
          </w:tcPr>
          <w:p w14:paraId="5022EE26"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 xml:space="preserve">I. СТРАТЕГИЧЕСКОЕ И РЕГУЛЯТОРНОЕ </w:t>
            </w:r>
            <w:r w:rsidRPr="00DA3DE5">
              <w:rPr>
                <w:rFonts w:ascii="Google Sans" w:eastAsia="Google Sans" w:hAnsi="Google Sans" w:cs="Google Sans"/>
                <w:b/>
                <w:bCs/>
                <w:color w:val="1B1C1D"/>
              </w:rPr>
              <w:t>КОНСУЛЬТИРОВАНИЕ</w:t>
            </w:r>
          </w:p>
        </w:tc>
        <w:tc>
          <w:tcPr>
            <w:tcW w:w="975" w:type="pct"/>
          </w:tcPr>
          <w:p w14:paraId="67170F94"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Стратегические коммуникации</w:t>
            </w:r>
          </w:p>
        </w:tc>
        <w:tc>
          <w:tcPr>
            <w:tcW w:w="736" w:type="pct"/>
          </w:tcPr>
          <w:p w14:paraId="7ABD908E"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555F9816"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Правительство Сербии</w:t>
            </w:r>
          </w:p>
        </w:tc>
        <w:tc>
          <w:tcPr>
            <w:tcW w:w="1326" w:type="pct"/>
          </w:tcPr>
          <w:p w14:paraId="4F5A719D"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Разработка стратегии по работе с общественным мнением (учитывая риски протестов).</w:t>
            </w:r>
          </w:p>
        </w:tc>
      </w:tr>
      <w:tr w:rsidR="0025628C" w14:paraId="2EF8EE94" w14:textId="77777777" w:rsidTr="0025628C">
        <w:tc>
          <w:tcPr>
            <w:tcW w:w="1008" w:type="pct"/>
          </w:tcPr>
          <w:p w14:paraId="3E96AD3F"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lastRenderedPageBreak/>
              <w:t>II. ФИНАНСЫ, ПРОЕКТНЫЙ КОНТРОЛЬ И СТОИМОСТЬ</w:t>
            </w:r>
          </w:p>
        </w:tc>
        <w:tc>
          <w:tcPr>
            <w:tcW w:w="975" w:type="pct"/>
          </w:tcPr>
          <w:p w14:paraId="35812E4B"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Мониторинг стоимости строительных ресурсов</w:t>
            </w:r>
          </w:p>
        </w:tc>
        <w:tc>
          <w:tcPr>
            <w:tcW w:w="736" w:type="pct"/>
          </w:tcPr>
          <w:p w14:paraId="37D9B602"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36283E7F" w14:textId="13E9BE8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Будущий Владелец (U) / </w:t>
            </w:r>
            <w:r w:rsidR="00C7598B">
              <w:rPr>
                <w:rFonts w:ascii="Google Sans Text" w:eastAsia="Google Sans Text" w:hAnsi="Google Sans Text" w:cs="Google Sans Text"/>
                <w:color w:val="1B1C1D"/>
              </w:rPr>
              <w:t>Генеральный Подрядчик</w:t>
            </w:r>
          </w:p>
        </w:tc>
        <w:tc>
          <w:tcPr>
            <w:tcW w:w="1326" w:type="pct"/>
          </w:tcPr>
          <w:p w14:paraId="40F26AD3"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4E28FB">
              <w:rPr>
                <w:rFonts w:ascii="Google Sans Text" w:eastAsia="Google Sans Text" w:hAnsi="Google Sans Text" w:cs="Google Sans Text"/>
                <w:color w:val="1B1C1D"/>
              </w:rPr>
              <w:t>Мониторинг текущих цен реализации (тарифах) строительных материалов, таможенных пошлин, страховых сбор</w:t>
            </w:r>
            <w:proofErr w:type="spellStart"/>
            <w:r>
              <w:rPr>
                <w:rFonts w:ascii="Google Sans Text" w:eastAsia="Google Sans Text" w:hAnsi="Google Sans Text" w:cs="Google Sans Text"/>
                <w:color w:val="1B1C1D"/>
                <w:lang w:val="ru-RU"/>
              </w:rPr>
              <w:t>ов</w:t>
            </w:r>
            <w:proofErr w:type="spellEnd"/>
            <w:r w:rsidRPr="004E28FB">
              <w:rPr>
                <w:rFonts w:ascii="Google Sans Text" w:eastAsia="Google Sans Text" w:hAnsi="Google Sans Text" w:cs="Google Sans Text"/>
                <w:color w:val="1B1C1D"/>
              </w:rPr>
              <w:t xml:space="preserve">, строимости услуг по доставке и прочих услуг и затрат в Республике </w:t>
            </w:r>
            <w:r>
              <w:rPr>
                <w:rFonts w:ascii="Google Sans Text" w:eastAsia="Google Sans Text" w:hAnsi="Google Sans Text" w:cs="Google Sans Text"/>
                <w:color w:val="1B1C1D"/>
                <w:lang w:val="ru-RU"/>
              </w:rPr>
              <w:t xml:space="preserve">Сербия </w:t>
            </w:r>
            <w:r w:rsidRPr="004E28FB">
              <w:rPr>
                <w:rFonts w:ascii="Google Sans Text" w:eastAsia="Google Sans Text" w:hAnsi="Google Sans Text" w:cs="Google Sans Text"/>
                <w:color w:val="1B1C1D"/>
              </w:rPr>
              <w:t xml:space="preserve">и третьих странах </w:t>
            </w:r>
            <w:r>
              <w:rPr>
                <w:rFonts w:ascii="Google Sans Text" w:eastAsia="Google Sans Text" w:hAnsi="Google Sans Text" w:cs="Google Sans Text"/>
                <w:color w:val="1B1C1D"/>
              </w:rPr>
              <w:t>и прогнозирование стоимости строительных ресурсов в ходе реализации проекта.</w:t>
            </w:r>
          </w:p>
        </w:tc>
      </w:tr>
      <w:tr w:rsidR="0025628C" w14:paraId="273C85FE" w14:textId="77777777" w:rsidTr="0025628C">
        <w:tc>
          <w:tcPr>
            <w:tcW w:w="1008" w:type="pct"/>
          </w:tcPr>
          <w:p w14:paraId="1EE57A03"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II. ФИНАНСЫ, ПРОЕКТНЫЙ КОНТРОЛЬ И СТОИМОСТЬ</w:t>
            </w:r>
          </w:p>
        </w:tc>
        <w:tc>
          <w:tcPr>
            <w:tcW w:w="975" w:type="pct"/>
          </w:tcPr>
          <w:p w14:paraId="64867B30" w14:textId="77777777" w:rsidR="0025628C" w:rsidRPr="004E28FB"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w:rPr>
                <w:rFonts w:ascii="Google Sans Text" w:eastAsia="Google Sans Text" w:hAnsi="Google Sans Text" w:cs="Google Sans Text"/>
                <w:b/>
                <w:color w:val="1B1C1D"/>
              </w:rPr>
              <w:t>Финансовый анализ (Cost Modelling) и контроль затрат</w:t>
            </w:r>
          </w:p>
        </w:tc>
        <w:tc>
          <w:tcPr>
            <w:tcW w:w="736" w:type="pct"/>
          </w:tcPr>
          <w:p w14:paraId="1630BFD3"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673BBDE5"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Будущий Владелец (U)</w:t>
            </w:r>
          </w:p>
        </w:tc>
        <w:tc>
          <w:tcPr>
            <w:tcW w:w="1326" w:type="pct"/>
          </w:tcPr>
          <w:p w14:paraId="79F0D587"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Требуется внешний эксперт.</w:t>
            </w:r>
            <w:r>
              <w:rPr>
                <w:rFonts w:ascii="Google Sans Text" w:eastAsia="Google Sans Text" w:hAnsi="Google Sans Text" w:cs="Google Sans Text"/>
                <w:color w:val="1B1C1D"/>
              </w:rPr>
              <w:t xml:space="preserve"> Экономический анализ и моделирование стоимости жизненного цикла АЭС (LCOE), включая расходы на вывод из эксплуатации, ОЯТ и РАО..</w:t>
            </w:r>
          </w:p>
        </w:tc>
      </w:tr>
      <w:tr w:rsidR="0025628C" w14:paraId="55598C86" w14:textId="77777777" w:rsidTr="0025628C">
        <w:tc>
          <w:tcPr>
            <w:tcW w:w="1008" w:type="pct"/>
          </w:tcPr>
          <w:p w14:paraId="57ED34F8"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II. ФИНАНСЫ, ПРОЕКТНЫЙ КОНТРОЛЬ И СТОИМОСТЬ</w:t>
            </w:r>
          </w:p>
        </w:tc>
        <w:tc>
          <w:tcPr>
            <w:tcW w:w="975" w:type="pct"/>
          </w:tcPr>
          <w:p w14:paraId="4215E3D0"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Управление контрактами и претензиями</w:t>
            </w:r>
          </w:p>
        </w:tc>
        <w:tc>
          <w:tcPr>
            <w:tcW w:w="736" w:type="pct"/>
          </w:tcPr>
          <w:p w14:paraId="5CD1749C"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6A735A8A" w14:textId="52C97ADD"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Будущий Владелец (U) / </w:t>
            </w:r>
            <w:r w:rsidR="00C7598B">
              <w:rPr>
                <w:rFonts w:ascii="Google Sans Text" w:eastAsia="Google Sans Text" w:hAnsi="Google Sans Text" w:cs="Google Sans Text"/>
                <w:color w:val="1B1C1D"/>
              </w:rPr>
              <w:t>Генеральный Подрядчик</w:t>
            </w:r>
          </w:p>
        </w:tc>
        <w:tc>
          <w:tcPr>
            <w:tcW w:w="1326" w:type="pct"/>
          </w:tcPr>
          <w:p w14:paraId="6665401D" w14:textId="17ED6B2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Полное административное сопровождение контрактов (составление, переговоры, закрытие). </w:t>
            </w:r>
          </w:p>
        </w:tc>
      </w:tr>
      <w:tr w:rsidR="0025628C" w14:paraId="53ED936A" w14:textId="77777777" w:rsidTr="0025628C">
        <w:tc>
          <w:tcPr>
            <w:tcW w:w="1008" w:type="pct"/>
          </w:tcPr>
          <w:p w14:paraId="6770D169"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lang w:val="ru-RU"/>
              </w:rPr>
            </w:pPr>
            <w:r>
              <w:rPr>
                <w:rFonts w:ascii="Google Sans Text" w:eastAsia="Google Sans Text" w:hAnsi="Google Sans Text" w:cs="Google Sans Text"/>
                <w:b/>
                <w:color w:val="1B1C1D"/>
              </w:rPr>
              <w:t xml:space="preserve">II. ФИНАНСЫ, ПРОЕКТНЫЙ </w:t>
            </w:r>
            <w:r>
              <w:rPr>
                <w:rFonts w:ascii="Google Sans Text" w:eastAsia="Google Sans Text" w:hAnsi="Google Sans Text" w:cs="Google Sans Text"/>
                <w:b/>
                <w:color w:val="1B1C1D"/>
              </w:rPr>
              <w:lastRenderedPageBreak/>
              <w:t>КОНТРОЛЬ И СТОИМОСТЬ</w:t>
            </w:r>
          </w:p>
        </w:tc>
        <w:tc>
          <w:tcPr>
            <w:tcW w:w="975" w:type="pct"/>
          </w:tcPr>
          <w:p w14:paraId="6E1E9616"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lang w:val="ru-RU"/>
              </w:rPr>
              <w:lastRenderedPageBreak/>
              <w:t>Информационная поддержка</w:t>
            </w:r>
          </w:p>
        </w:tc>
        <w:tc>
          <w:tcPr>
            <w:tcW w:w="736" w:type="pct"/>
          </w:tcPr>
          <w:p w14:paraId="2670CE3E"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50A4EAED"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61D56E19" w14:textId="17E7FDA2"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lang w:val="ru-RU"/>
              </w:rPr>
              <w:t xml:space="preserve">Создание и Курирование аналитических материалов и </w:t>
            </w:r>
            <w:r>
              <w:rPr>
                <w:rFonts w:ascii="Google Sans Text" w:eastAsia="Google Sans Text" w:hAnsi="Google Sans Text" w:cs="Google Sans Text"/>
                <w:color w:val="1B1C1D"/>
                <w:lang w:val="ru-RU"/>
              </w:rPr>
              <w:lastRenderedPageBreak/>
              <w:t>новостного контента</w:t>
            </w:r>
          </w:p>
        </w:tc>
      </w:tr>
      <w:tr w:rsidR="0025628C" w14:paraId="0B9EC690" w14:textId="77777777" w:rsidTr="0025628C">
        <w:tc>
          <w:tcPr>
            <w:tcW w:w="1008" w:type="pct"/>
          </w:tcPr>
          <w:p w14:paraId="5C3D3DA5"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lastRenderedPageBreak/>
              <w:t xml:space="preserve">IV. </w:t>
            </w:r>
            <w:r>
              <w:rPr>
                <w:rFonts w:ascii="Google Sans" w:eastAsia="Google Sans" w:hAnsi="Google Sans" w:cs="Google Sans"/>
                <w:color w:val="1B1C1D"/>
              </w:rPr>
              <w:t>Кадровые и Административные услуги</w:t>
            </w:r>
          </w:p>
        </w:tc>
        <w:tc>
          <w:tcPr>
            <w:tcW w:w="975" w:type="pct"/>
          </w:tcPr>
          <w:p w14:paraId="3472D19D"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Управление персоналом и релокация</w:t>
            </w:r>
          </w:p>
        </w:tc>
        <w:tc>
          <w:tcPr>
            <w:tcW w:w="736" w:type="pct"/>
          </w:tcPr>
          <w:p w14:paraId="33E03260"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3AF96B83" w14:textId="11DA8AAE" w:rsidR="0025628C" w:rsidRDefault="00C7598B"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Генеральный Подрядчик</w:t>
            </w:r>
            <w:r w:rsidR="0025628C">
              <w:rPr>
                <w:rFonts w:ascii="Google Sans Text" w:eastAsia="Google Sans Text" w:hAnsi="Google Sans Text" w:cs="Google Sans Text"/>
                <w:color w:val="1B1C1D"/>
              </w:rPr>
              <w:t xml:space="preserve"> / Будущий Владелец (U)</w:t>
            </w:r>
          </w:p>
        </w:tc>
        <w:tc>
          <w:tcPr>
            <w:tcW w:w="1326" w:type="pct"/>
          </w:tcPr>
          <w:p w14:paraId="0D9E43E1"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Содействие в обеспечении строительства управленческим и инженерно-техническим персоналом. Организация процесса релокации и интеграции специалистов.</w:t>
            </w:r>
          </w:p>
        </w:tc>
      </w:tr>
      <w:tr w:rsidR="0025628C" w14:paraId="696A1872" w14:textId="77777777" w:rsidTr="0025628C">
        <w:tc>
          <w:tcPr>
            <w:tcW w:w="1008" w:type="pct"/>
          </w:tcPr>
          <w:p w14:paraId="65344226"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 xml:space="preserve">IV. </w:t>
            </w:r>
            <w:r>
              <w:rPr>
                <w:rFonts w:ascii="Google Sans" w:eastAsia="Google Sans" w:hAnsi="Google Sans" w:cs="Google Sans"/>
                <w:color w:val="1B1C1D"/>
              </w:rPr>
              <w:t>Кадровые и Административные услуги</w:t>
            </w:r>
          </w:p>
        </w:tc>
        <w:tc>
          <w:tcPr>
            <w:tcW w:w="975" w:type="pct"/>
          </w:tcPr>
          <w:p w14:paraId="20DAA2B8"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Разработка учебных программ</w:t>
            </w:r>
          </w:p>
        </w:tc>
        <w:tc>
          <w:tcPr>
            <w:tcW w:w="736" w:type="pct"/>
          </w:tcPr>
          <w:p w14:paraId="7EA12A6E"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07E5CA01"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Институт «Винча»</w:t>
            </w:r>
            <w:r>
              <w:rPr>
                <w:rFonts w:ascii="Google Sans Text" w:eastAsia="Google Sans Text" w:hAnsi="Google Sans Text" w:cs="Google Sans Text"/>
                <w:color w:val="1B1C1D"/>
              </w:rPr>
              <w:t xml:space="preserve"> / </w:t>
            </w:r>
            <w:r>
              <w:rPr>
                <w:rFonts w:ascii="Google Sans Text" w:eastAsia="Google Sans Text" w:hAnsi="Google Sans Text" w:cs="Google Sans Text"/>
                <w:b/>
                <w:color w:val="1B1C1D"/>
              </w:rPr>
              <w:t>ЦЯИТ</w:t>
            </w:r>
          </w:p>
        </w:tc>
        <w:tc>
          <w:tcPr>
            <w:tcW w:w="1326" w:type="pct"/>
          </w:tcPr>
          <w:p w14:paraId="15834E93"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Административное сопровождение разработки и внедрения программ обучения.</w:t>
            </w:r>
          </w:p>
        </w:tc>
      </w:tr>
      <w:tr w:rsidR="0025628C" w14:paraId="44FA4DD2" w14:textId="77777777" w:rsidTr="0025628C">
        <w:tc>
          <w:tcPr>
            <w:tcW w:w="1008" w:type="pct"/>
          </w:tcPr>
          <w:p w14:paraId="2638AC5A"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sidRPr="00CC13B0">
              <w:rPr>
                <w:rFonts w:ascii="Google Sans Text" w:eastAsia="Google Sans Text" w:hAnsi="Google Sans Text" w:cs="Google Sans Text"/>
                <w:b/>
                <w:color w:val="1B1C1D"/>
              </w:rPr>
              <w:t xml:space="preserve">IV. </w:t>
            </w:r>
            <w:r w:rsidRPr="00CC13B0">
              <w:rPr>
                <w:rFonts w:ascii="Google Sans" w:eastAsia="Google Sans" w:hAnsi="Google Sans" w:cs="Google Sans"/>
                <w:color w:val="1B1C1D"/>
              </w:rPr>
              <w:t>Кадровые и Административные услуги</w:t>
            </w:r>
          </w:p>
        </w:tc>
        <w:tc>
          <w:tcPr>
            <w:tcW w:w="975" w:type="pct"/>
          </w:tcPr>
          <w:p w14:paraId="6738B17D"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Привлечение узких специалистов</w:t>
            </w:r>
          </w:p>
        </w:tc>
        <w:tc>
          <w:tcPr>
            <w:tcW w:w="736" w:type="pct"/>
          </w:tcPr>
          <w:p w14:paraId="04FDFC7A"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1ECB95A9"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033936DC"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Использование сербской юрисдикции для привлечения высококвалифицированных специалистов как физических лиц, включая российских экспертов, обходя санкционные ограничения.</w:t>
            </w:r>
          </w:p>
        </w:tc>
      </w:tr>
      <w:tr w:rsidR="0025628C" w14:paraId="7E8FA299" w14:textId="77777777" w:rsidTr="0025628C">
        <w:tc>
          <w:tcPr>
            <w:tcW w:w="1008" w:type="pct"/>
          </w:tcPr>
          <w:p w14:paraId="51883819"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sidRPr="00CC13B0">
              <w:rPr>
                <w:rFonts w:ascii="Google Sans Text" w:eastAsia="Google Sans Text" w:hAnsi="Google Sans Text" w:cs="Google Sans Text"/>
                <w:b/>
                <w:color w:val="1B1C1D"/>
              </w:rPr>
              <w:t xml:space="preserve">IV. </w:t>
            </w:r>
            <w:r w:rsidRPr="00CC13B0">
              <w:rPr>
                <w:rFonts w:ascii="Google Sans" w:eastAsia="Google Sans" w:hAnsi="Google Sans" w:cs="Google Sans"/>
                <w:color w:val="1B1C1D"/>
              </w:rPr>
              <w:t>Кадровые и Административные услуги</w:t>
            </w:r>
          </w:p>
        </w:tc>
        <w:tc>
          <w:tcPr>
            <w:tcW w:w="975" w:type="pct"/>
          </w:tcPr>
          <w:p w14:paraId="71DCFA82"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Общественное информирование</w:t>
            </w:r>
          </w:p>
        </w:tc>
        <w:tc>
          <w:tcPr>
            <w:tcW w:w="736" w:type="pct"/>
          </w:tcPr>
          <w:p w14:paraId="45834EDA"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CONSILIO B</w:t>
            </w:r>
          </w:p>
        </w:tc>
        <w:tc>
          <w:tcPr>
            <w:tcW w:w="956" w:type="pct"/>
          </w:tcPr>
          <w:p w14:paraId="5974E42D"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74626A29"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Разработка и реализация программ </w:t>
            </w:r>
            <w:r>
              <w:rPr>
                <w:rFonts w:ascii="Google Sans Text" w:eastAsia="Google Sans Text" w:hAnsi="Google Sans Text" w:cs="Google Sans Text"/>
                <w:b/>
                <w:color w:val="1B1C1D"/>
              </w:rPr>
              <w:t>взаимодействия с общественностью</w:t>
            </w:r>
            <w:r>
              <w:rPr>
                <w:rFonts w:ascii="Google Sans Text" w:eastAsia="Google Sans Text" w:hAnsi="Google Sans Text" w:cs="Google Sans Text"/>
                <w:color w:val="1B1C1D"/>
              </w:rPr>
              <w:t xml:space="preserve"> (Stakeholder Involvement), повышение осведомленности </w:t>
            </w:r>
            <w:r>
              <w:rPr>
                <w:rFonts w:ascii="Google Sans Text" w:eastAsia="Google Sans Text" w:hAnsi="Google Sans Text" w:cs="Google Sans Text"/>
                <w:color w:val="1B1C1D"/>
              </w:rPr>
              <w:lastRenderedPageBreak/>
              <w:t>и доверия к ядерной программе.</w:t>
            </w:r>
          </w:p>
        </w:tc>
      </w:tr>
      <w:tr w:rsidR="0025628C" w14:paraId="71C5BAB1" w14:textId="77777777" w:rsidTr="0025628C">
        <w:tc>
          <w:tcPr>
            <w:tcW w:w="1008" w:type="pct"/>
          </w:tcPr>
          <w:p w14:paraId="675DC396"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lastRenderedPageBreak/>
              <w:t xml:space="preserve">IV. </w:t>
            </w:r>
            <w:r>
              <w:rPr>
                <w:rFonts w:ascii="Google Sans" w:eastAsia="Google Sans" w:hAnsi="Google Sans" w:cs="Google Sans"/>
                <w:color w:val="1B1C1D"/>
              </w:rPr>
              <w:t>Бизнес- и Проектное консультирование</w:t>
            </w:r>
          </w:p>
        </w:tc>
        <w:tc>
          <w:tcPr>
            <w:tcW w:w="975" w:type="pct"/>
          </w:tcPr>
          <w:p w14:paraId="13254303"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Разработка тендерной документации</w:t>
            </w:r>
          </w:p>
        </w:tc>
        <w:tc>
          <w:tcPr>
            <w:tcW w:w="736" w:type="pct"/>
          </w:tcPr>
          <w:p w14:paraId="178884B0"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6B57090F"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05037C57"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Подготовка технических и коммерческих разделов тендерной документации (Bid Specification) для первой АЭС, включая требования к технологиям, топливному циклу и участию национальных поставщиков.</w:t>
            </w:r>
          </w:p>
        </w:tc>
      </w:tr>
      <w:tr w:rsidR="0025628C" w14:paraId="5FDD9DA4" w14:textId="77777777" w:rsidTr="0025628C">
        <w:tc>
          <w:tcPr>
            <w:tcW w:w="1008" w:type="pct"/>
          </w:tcPr>
          <w:p w14:paraId="49981522"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 xml:space="preserve">IV. </w:t>
            </w:r>
            <w:r>
              <w:rPr>
                <w:rFonts w:ascii="Google Sans" w:eastAsia="Google Sans" w:hAnsi="Google Sans" w:cs="Google Sans"/>
                <w:color w:val="1B1C1D"/>
              </w:rPr>
              <w:t>Бизнес- и Проектное консультирование</w:t>
            </w:r>
          </w:p>
        </w:tc>
        <w:tc>
          <w:tcPr>
            <w:tcW w:w="975" w:type="pct"/>
          </w:tcPr>
          <w:p w14:paraId="6A6F845A"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Оценка и выбор поставщика</w:t>
            </w:r>
          </w:p>
        </w:tc>
        <w:tc>
          <w:tcPr>
            <w:tcW w:w="736" w:type="pct"/>
          </w:tcPr>
          <w:p w14:paraId="53356A14"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433364FF"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25B65B69"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Экспертная оценка технических и экономических предложений (Bid Evaluation) от потенциальных поставщиков, поддержка в выборе предпочтительной технологии и в контрактных переговорах.</w:t>
            </w:r>
          </w:p>
        </w:tc>
      </w:tr>
      <w:tr w:rsidR="0025628C" w14:paraId="077F55B9" w14:textId="77777777" w:rsidTr="0025628C">
        <w:tc>
          <w:tcPr>
            <w:tcW w:w="1008" w:type="pct"/>
          </w:tcPr>
          <w:p w14:paraId="53F575E4"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sidRPr="003E0CF5">
              <w:rPr>
                <w:rFonts w:ascii="Google Sans Text" w:eastAsia="Google Sans Text" w:hAnsi="Google Sans Text" w:cs="Google Sans Text"/>
                <w:b/>
                <w:color w:val="1B1C1D"/>
              </w:rPr>
              <w:t xml:space="preserve">I. СТРАТЕГИЧЕСКОЕ И РЕГУЛЯТОРНОЕ </w:t>
            </w:r>
            <w:r w:rsidRPr="003E0CF5">
              <w:rPr>
                <w:rFonts w:ascii="Google Sans" w:eastAsia="Google Sans" w:hAnsi="Google Sans" w:cs="Google Sans"/>
                <w:b/>
                <w:bCs/>
                <w:color w:val="1B1C1D"/>
              </w:rPr>
              <w:t>КОНСУЛЬТИРОВАНИЕ</w:t>
            </w:r>
          </w:p>
        </w:tc>
        <w:tc>
          <w:tcPr>
            <w:tcW w:w="975" w:type="pct"/>
          </w:tcPr>
          <w:p w14:paraId="0AB89974"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Системы гарантий (МАГАТЭ)</w:t>
            </w:r>
          </w:p>
        </w:tc>
        <w:tc>
          <w:tcPr>
            <w:tcW w:w="736" w:type="pct"/>
          </w:tcPr>
          <w:p w14:paraId="66E3A0A6"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4596F245"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Директорат DRNSBS</w:t>
            </w:r>
            <w:r>
              <w:rPr>
                <w:rFonts w:ascii="Google Sans Text" w:eastAsia="Google Sans Text" w:hAnsi="Google Sans Text" w:cs="Google Sans Text"/>
                <w:color w:val="1B1C1D"/>
              </w:rPr>
              <w:t xml:space="preserve"> / </w:t>
            </w:r>
            <w:r>
              <w:rPr>
                <w:rFonts w:ascii="Google Sans Text" w:eastAsia="Google Sans Text" w:hAnsi="Google Sans Text" w:cs="Google Sans Text"/>
                <w:b/>
                <w:color w:val="1B1C1D"/>
              </w:rPr>
              <w:t>Институт «Винча»</w:t>
            </w:r>
          </w:p>
        </w:tc>
        <w:tc>
          <w:tcPr>
            <w:tcW w:w="1326" w:type="pct"/>
          </w:tcPr>
          <w:p w14:paraId="4AD92578"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Консультации по технической части (SSAC, нераспространение).</w:t>
            </w:r>
          </w:p>
        </w:tc>
      </w:tr>
      <w:tr w:rsidR="0025628C" w14:paraId="70AF3898" w14:textId="77777777" w:rsidTr="0025628C">
        <w:tc>
          <w:tcPr>
            <w:tcW w:w="1008" w:type="pct"/>
          </w:tcPr>
          <w:p w14:paraId="3B08479D"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3E0CF5">
              <w:rPr>
                <w:rFonts w:ascii="Google Sans Text" w:eastAsia="Google Sans Text" w:hAnsi="Google Sans Text" w:cs="Google Sans Text"/>
                <w:b/>
                <w:color w:val="1B1C1D"/>
              </w:rPr>
              <w:t xml:space="preserve">I. СТРАТЕГИЧЕСКОЕ И РЕГУЛЯТОРНОЕ </w:t>
            </w:r>
            <w:r w:rsidRPr="003E0CF5">
              <w:rPr>
                <w:rFonts w:ascii="Google Sans" w:eastAsia="Google Sans" w:hAnsi="Google Sans" w:cs="Google Sans"/>
                <w:b/>
                <w:bCs/>
                <w:color w:val="1B1C1D"/>
              </w:rPr>
              <w:t>КОНСУЛЬТИРОВАНИЕ</w:t>
            </w:r>
          </w:p>
        </w:tc>
        <w:tc>
          <w:tcPr>
            <w:tcW w:w="975" w:type="pct"/>
          </w:tcPr>
          <w:p w14:paraId="47B02EB9"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Разработка НПБ</w:t>
            </w:r>
          </w:p>
        </w:tc>
        <w:tc>
          <w:tcPr>
            <w:tcW w:w="736" w:type="pct"/>
          </w:tcPr>
          <w:p w14:paraId="4CFD3D22"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2A1F1798"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Директорат DRNSBS</w:t>
            </w:r>
          </w:p>
        </w:tc>
        <w:tc>
          <w:tcPr>
            <w:tcW w:w="1326" w:type="pct"/>
          </w:tcPr>
          <w:p w14:paraId="05D8FEAF"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Разработка национальных норм, правил и стандартов (НПБ).</w:t>
            </w:r>
          </w:p>
        </w:tc>
      </w:tr>
      <w:tr w:rsidR="0025628C" w14:paraId="7C2A1FF1" w14:textId="77777777" w:rsidTr="0025628C">
        <w:tc>
          <w:tcPr>
            <w:tcW w:w="1008" w:type="pct"/>
          </w:tcPr>
          <w:p w14:paraId="0D1B01D4"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lastRenderedPageBreak/>
              <w:t>II. ФИНАНСЫ, ПРОЕКТНЫЙ КОНТРОЛЬ И СТОИМОСТЬ</w:t>
            </w:r>
          </w:p>
        </w:tc>
        <w:tc>
          <w:tcPr>
            <w:tcW w:w="975" w:type="pct"/>
          </w:tcPr>
          <w:p w14:paraId="6021D6FD"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Предварительная оценка стоимости АЭС (TCMNC)</w:t>
            </w:r>
          </w:p>
        </w:tc>
        <w:tc>
          <w:tcPr>
            <w:tcW w:w="736" w:type="pct"/>
          </w:tcPr>
          <w:p w14:paraId="0D4191DD"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2785789E"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Будущий Владелец/Оператор АЭС (U)</w:t>
            </w:r>
          </w:p>
        </w:tc>
        <w:tc>
          <w:tcPr>
            <w:tcW w:w="1326" w:type="pct"/>
          </w:tcPr>
          <w:p w14:paraId="46711B1E"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lang w:val="ru-RU"/>
              </w:rPr>
              <w:t>Поддержка наполнения и п</w:t>
            </w:r>
            <w:r>
              <w:rPr>
                <w:rFonts w:ascii="Google Sans Text" w:eastAsia="Google Sans Text" w:hAnsi="Google Sans Text" w:cs="Google Sans Text"/>
                <w:color w:val="1B1C1D"/>
              </w:rPr>
              <w:t>рименени</w:t>
            </w:r>
            <w:r>
              <w:rPr>
                <w:rFonts w:ascii="Google Sans Text" w:eastAsia="Google Sans Text" w:hAnsi="Google Sans Text" w:cs="Google Sans Text"/>
                <w:color w:val="1B1C1D"/>
                <w:lang w:val="ru-RU"/>
              </w:rPr>
              <w:t>я</w:t>
            </w:r>
            <w:r>
              <w:rPr>
                <w:rFonts w:ascii="Google Sans Text" w:eastAsia="Google Sans Text" w:hAnsi="Google Sans Text" w:cs="Google Sans Text"/>
                <w:color w:val="1B1C1D"/>
              </w:rPr>
              <w:t xml:space="preserve"> российской отраслевой системы </w:t>
            </w:r>
            <w:r>
              <w:rPr>
                <w:rFonts w:ascii="Google Sans Text" w:eastAsia="Google Sans Text" w:hAnsi="Google Sans Text" w:cs="Google Sans Text"/>
                <w:b/>
                <w:color w:val="1B1C1D"/>
              </w:rPr>
              <w:t>TCMNC</w:t>
            </w:r>
            <w:r>
              <w:rPr>
                <w:rFonts w:ascii="Google Sans Text" w:eastAsia="Google Sans Text" w:hAnsi="Google Sans Text" w:cs="Google Sans Text"/>
                <w:color w:val="1B1C1D"/>
              </w:rPr>
              <w:t xml:space="preserve"> для оценки и обоснования стоимости.</w:t>
            </w:r>
          </w:p>
        </w:tc>
      </w:tr>
      <w:tr w:rsidR="0025628C" w14:paraId="3E93039B" w14:textId="77777777" w:rsidTr="0025628C">
        <w:tc>
          <w:tcPr>
            <w:tcW w:w="1008" w:type="pct"/>
          </w:tcPr>
          <w:p w14:paraId="77185CC7"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II. ФИНАНСЫ, ПРОЕКТНЫЙ КОНТРОЛЬ И СТОИМОСТЬ</w:t>
            </w:r>
          </w:p>
        </w:tc>
        <w:tc>
          <w:tcPr>
            <w:tcW w:w="975" w:type="pct"/>
          </w:tcPr>
          <w:p w14:paraId="7CAC44A3"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Планирование и контроль сроков (CPM)</w:t>
            </w:r>
          </w:p>
        </w:tc>
        <w:tc>
          <w:tcPr>
            <w:tcW w:w="736" w:type="pct"/>
          </w:tcPr>
          <w:p w14:paraId="77D21547"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51872C91" w14:textId="0EA31C63" w:rsidR="0025628C" w:rsidRDefault="00C7598B">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Генеральный Подрядчик</w:t>
            </w:r>
          </w:p>
        </w:tc>
        <w:tc>
          <w:tcPr>
            <w:tcW w:w="1326" w:type="pct"/>
          </w:tcPr>
          <w:p w14:paraId="49C5A68B"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Разработка и актуализация графиков CPM, анализ </w:t>
            </w:r>
            <w:r>
              <w:rPr>
                <w:rFonts w:ascii="Google Sans Text" w:eastAsia="Google Sans Text" w:hAnsi="Google Sans Text" w:cs="Google Sans Text"/>
                <w:color w:val="1B1C1D"/>
                <w:lang w:val="ru-RU"/>
              </w:rPr>
              <w:t>коллизий и разработка мер по их предотвращению и ликвидации/смягчения их последствий</w:t>
            </w:r>
            <w:r>
              <w:rPr>
                <w:rFonts w:ascii="Google Sans Text" w:eastAsia="Google Sans Text" w:hAnsi="Google Sans Text" w:cs="Google Sans Text"/>
                <w:color w:val="1B1C1D"/>
              </w:rPr>
              <w:t>.</w:t>
            </w:r>
          </w:p>
        </w:tc>
      </w:tr>
      <w:tr w:rsidR="0025628C" w14:paraId="78BE5BA0" w14:textId="77777777" w:rsidTr="0025628C">
        <w:tc>
          <w:tcPr>
            <w:tcW w:w="1008" w:type="pct"/>
          </w:tcPr>
          <w:p w14:paraId="28FE145F"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II. ФИНАНСЫ, ПРОЕКТНЫЙ КОНТРОЛЬ И СТОИМОСТЬ</w:t>
            </w:r>
          </w:p>
        </w:tc>
        <w:tc>
          <w:tcPr>
            <w:tcW w:w="975" w:type="pct"/>
          </w:tcPr>
          <w:p w14:paraId="366049CB"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Управление изменениями и координация</w:t>
            </w:r>
          </w:p>
        </w:tc>
        <w:tc>
          <w:tcPr>
            <w:tcW w:w="736" w:type="pct"/>
          </w:tcPr>
          <w:p w14:paraId="26FBBCF3"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228C85B4"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p>
        </w:tc>
        <w:tc>
          <w:tcPr>
            <w:tcW w:w="1326" w:type="pct"/>
          </w:tcPr>
          <w:p w14:paraId="03F2128D"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Разработка процедур и оперативная оценка заказов на изменения (Change Orders). Координация деятельности всех участников проекта.</w:t>
            </w:r>
          </w:p>
        </w:tc>
      </w:tr>
      <w:tr w:rsidR="0025628C" w14:paraId="4AA8C8C3" w14:textId="77777777" w:rsidTr="0025628C">
        <w:tc>
          <w:tcPr>
            <w:tcW w:w="1008" w:type="pct"/>
          </w:tcPr>
          <w:p w14:paraId="39CDF001"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II. ФИНАНСЫ, ПРОЕКТНЫЙ КОНТРОЛЬ И СТОИМОСТЬ</w:t>
            </w:r>
          </w:p>
        </w:tc>
        <w:tc>
          <w:tcPr>
            <w:tcW w:w="975" w:type="pct"/>
          </w:tcPr>
          <w:p w14:paraId="2C7D18FA"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Развитие национальных поставщиков</w:t>
            </w:r>
          </w:p>
        </w:tc>
        <w:tc>
          <w:tcPr>
            <w:tcW w:w="736" w:type="pct"/>
          </w:tcPr>
          <w:p w14:paraId="5633F4A7"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223D8F99"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Будущий Владелец (U) / Правительство Сербии</w:t>
            </w:r>
          </w:p>
        </w:tc>
        <w:tc>
          <w:tcPr>
            <w:tcW w:w="1326" w:type="pct"/>
          </w:tcPr>
          <w:p w14:paraId="2EBAADC2"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Аудит и повышение квалификации национальных промышленных предприятий для соответствия </w:t>
            </w:r>
            <w:r>
              <w:rPr>
                <w:rFonts w:ascii="Google Sans Text" w:eastAsia="Google Sans Text" w:hAnsi="Google Sans Text" w:cs="Google Sans Text"/>
                <w:b/>
                <w:color w:val="1B1C1D"/>
              </w:rPr>
              <w:t>ядерным стандартам качества</w:t>
            </w:r>
            <w:r>
              <w:rPr>
                <w:rFonts w:ascii="Google Sans Text" w:eastAsia="Google Sans Text" w:hAnsi="Google Sans Text" w:cs="Google Sans Text"/>
                <w:color w:val="1B1C1D"/>
              </w:rPr>
              <w:t xml:space="preserve"> и участия в проекте строительства/эксплуатации АЭС.</w:t>
            </w:r>
          </w:p>
        </w:tc>
      </w:tr>
      <w:tr w:rsidR="0025628C" w14:paraId="2CFD6E84" w14:textId="77777777" w:rsidTr="0025628C">
        <w:tc>
          <w:tcPr>
            <w:tcW w:w="1008" w:type="pct"/>
          </w:tcPr>
          <w:p w14:paraId="482AC026"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lastRenderedPageBreak/>
              <w:t>III. ИНЖИНИРИНГ, НАДЗОР И ЯДЕРНЫЙ ЦИКЛ</w:t>
            </w:r>
          </w:p>
        </w:tc>
        <w:tc>
          <w:tcPr>
            <w:tcW w:w="975" w:type="pct"/>
          </w:tcPr>
          <w:p w14:paraId="2B1A4D72"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Независимый технический обзор (ITR)</w:t>
            </w:r>
          </w:p>
        </w:tc>
        <w:tc>
          <w:tcPr>
            <w:tcW w:w="736" w:type="pct"/>
          </w:tcPr>
          <w:p w14:paraId="2B19C783"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1707AFCE"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Будущий Владелец (U)</w:t>
            </w:r>
          </w:p>
        </w:tc>
        <w:tc>
          <w:tcPr>
            <w:tcW w:w="1326" w:type="pct"/>
          </w:tcPr>
          <w:p w14:paraId="1CF022B1"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lang w:val="ru-RU"/>
              </w:rPr>
            </w:pPr>
            <w:r>
              <w:rPr>
                <w:rFonts w:ascii="Google Sans Text" w:eastAsia="Google Sans Text" w:hAnsi="Google Sans Text" w:cs="Google Sans Text"/>
                <w:color w:val="1B1C1D"/>
              </w:rPr>
              <w:t>Экспертная оценка соответствия проектов и технологий нормам и требованиям безопасности.</w:t>
            </w:r>
          </w:p>
          <w:p w14:paraId="436FA443"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Экспертная оценка предлагаемых технологий (SMR, ВВЭР).</w:t>
            </w:r>
          </w:p>
        </w:tc>
      </w:tr>
      <w:tr w:rsidR="0025628C" w14:paraId="14AA50E4" w14:textId="77777777" w:rsidTr="0025628C">
        <w:tc>
          <w:tcPr>
            <w:tcW w:w="1008" w:type="pct"/>
          </w:tcPr>
          <w:p w14:paraId="11857F12"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III. ИНЖИНИРИНГ, НАДЗОР И ЯДЕРНЫЙ ЦИКЛ</w:t>
            </w:r>
          </w:p>
        </w:tc>
        <w:tc>
          <w:tcPr>
            <w:tcW w:w="975" w:type="pct"/>
          </w:tcPr>
          <w:p w14:paraId="49688318"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Контроль производства и монтажа</w:t>
            </w:r>
          </w:p>
        </w:tc>
        <w:tc>
          <w:tcPr>
            <w:tcW w:w="736" w:type="pct"/>
          </w:tcPr>
          <w:p w14:paraId="497A1A57"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6C5167A6" w14:textId="568814DD" w:rsidR="0025628C" w:rsidRDefault="00C7598B">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Генеральный Подрядчик</w:t>
            </w:r>
          </w:p>
        </w:tc>
        <w:tc>
          <w:tcPr>
            <w:tcW w:w="1326" w:type="pct"/>
          </w:tcPr>
          <w:p w14:paraId="0A0248AA"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Надзор за производством оборудования</w:t>
            </w:r>
            <w:r>
              <w:rPr>
                <w:rFonts w:ascii="Google Sans Text" w:eastAsia="Google Sans Text" w:hAnsi="Google Sans Text" w:cs="Google Sans Text"/>
                <w:color w:val="1B1C1D"/>
                <w:lang w:val="ru-RU"/>
              </w:rPr>
              <w:t xml:space="preserve">, строительных полуфабрикатов </w:t>
            </w:r>
            <w:r>
              <w:rPr>
                <w:rFonts w:ascii="Google Sans Text" w:eastAsia="Google Sans Text" w:hAnsi="Google Sans Text" w:cs="Google Sans Text"/>
                <w:color w:val="1B1C1D"/>
              </w:rPr>
              <w:t xml:space="preserve"> и его монтажом. Экспертиза проекта </w:t>
            </w:r>
            <w:r>
              <w:rPr>
                <w:rFonts w:ascii="Google Sans Text" w:eastAsia="Google Sans Text" w:hAnsi="Google Sans Text" w:cs="Google Sans Text"/>
                <w:color w:val="1B1C1D"/>
                <w:lang w:val="ru-RU"/>
              </w:rPr>
              <w:t xml:space="preserve">организации строительства и проектов производства работ </w:t>
            </w:r>
            <w:r>
              <w:rPr>
                <w:rFonts w:ascii="Google Sans Text" w:eastAsia="Google Sans Text" w:hAnsi="Google Sans Text" w:cs="Google Sans Text"/>
                <w:color w:val="1B1C1D"/>
              </w:rPr>
              <w:t>в различных инженерных дисциплинах.</w:t>
            </w:r>
          </w:p>
        </w:tc>
      </w:tr>
      <w:tr w:rsidR="0025628C" w14:paraId="4B2E9225" w14:textId="77777777" w:rsidTr="0025628C">
        <w:tc>
          <w:tcPr>
            <w:tcW w:w="1008" w:type="pct"/>
          </w:tcPr>
          <w:p w14:paraId="64EDF7F8"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III. ИНЖИНИРИНГ, НАДЗОР И ЯДЕРНЫЙ ЦИКЛ</w:t>
            </w:r>
          </w:p>
        </w:tc>
        <w:tc>
          <w:tcPr>
            <w:tcW w:w="975" w:type="pct"/>
          </w:tcPr>
          <w:p w14:paraId="184EC754"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Управление документацией (IDC)</w:t>
            </w:r>
          </w:p>
        </w:tc>
        <w:tc>
          <w:tcPr>
            <w:tcW w:w="736" w:type="pct"/>
          </w:tcPr>
          <w:p w14:paraId="21419A04"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6CBE3D47" w14:textId="2089B0CD" w:rsidR="0025628C" w:rsidRDefault="00C7598B">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Генеральный Подрядчик</w:t>
            </w:r>
          </w:p>
        </w:tc>
        <w:tc>
          <w:tcPr>
            <w:tcW w:w="1326" w:type="pct"/>
          </w:tcPr>
          <w:p w14:paraId="5941C4FA"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Техническая координация документов (IDC), разработка организационно-технологической документации.</w:t>
            </w:r>
          </w:p>
        </w:tc>
      </w:tr>
      <w:tr w:rsidR="0025628C" w14:paraId="718B688D" w14:textId="77777777" w:rsidTr="0025628C">
        <w:tc>
          <w:tcPr>
            <w:tcW w:w="1008" w:type="pct"/>
          </w:tcPr>
          <w:p w14:paraId="54A981C9"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III. ИНЖИНИРИНГ, НАДЗОР И ЯДЕРНЫЙ ЦИКЛ</w:t>
            </w:r>
          </w:p>
        </w:tc>
        <w:tc>
          <w:tcPr>
            <w:tcW w:w="975" w:type="pct"/>
          </w:tcPr>
          <w:p w14:paraId="05E4EEE3"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Контроль качества (QA/QC) и аудит</w:t>
            </w:r>
          </w:p>
        </w:tc>
        <w:tc>
          <w:tcPr>
            <w:tcW w:w="736" w:type="pct"/>
          </w:tcPr>
          <w:p w14:paraId="3AAD3F66"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23660A17" w14:textId="70263C76" w:rsidR="0025628C" w:rsidRDefault="00C7598B">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Генеральный Подрядчик</w:t>
            </w:r>
          </w:p>
        </w:tc>
        <w:tc>
          <w:tcPr>
            <w:tcW w:w="1326" w:type="pct"/>
          </w:tcPr>
          <w:p w14:paraId="1C9DECA0"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lang w:val="ru-RU"/>
              </w:rPr>
              <w:t>Участие в разработке и н</w:t>
            </w:r>
            <w:r>
              <w:rPr>
                <w:rFonts w:ascii="Google Sans Text" w:eastAsia="Google Sans Text" w:hAnsi="Google Sans Text" w:cs="Google Sans Text"/>
                <w:color w:val="1B1C1D"/>
              </w:rPr>
              <w:t xml:space="preserve">адзор за соблюдением процедур QA/QC, проведение независимых аудитов </w:t>
            </w:r>
            <w:r>
              <w:rPr>
                <w:rFonts w:ascii="Google Sans Text" w:eastAsia="Google Sans Text" w:hAnsi="Google Sans Text" w:cs="Google Sans Text"/>
                <w:color w:val="1B1C1D"/>
              </w:rPr>
              <w:lastRenderedPageBreak/>
              <w:t>поставщиков и изготовителей</w:t>
            </w:r>
            <w:r>
              <w:rPr>
                <w:rFonts w:ascii="Google Sans Text" w:eastAsia="Google Sans Text" w:hAnsi="Google Sans Text" w:cs="Google Sans Text"/>
                <w:color w:val="1B1C1D"/>
                <w:lang w:val="ru-RU"/>
              </w:rPr>
              <w:t xml:space="preserve"> </w:t>
            </w:r>
            <w:r>
              <w:rPr>
                <w:rFonts w:ascii="Google Sans Text" w:eastAsia="Google Sans Text" w:hAnsi="Google Sans Text" w:cs="Google Sans Text"/>
                <w:color w:val="1B1C1D"/>
              </w:rPr>
              <w:t>и обеспечение соответствия ядерным стандартам.</w:t>
            </w:r>
          </w:p>
        </w:tc>
      </w:tr>
      <w:tr w:rsidR="0025628C" w14:paraId="621CF61F" w14:textId="77777777" w:rsidTr="0025628C">
        <w:tc>
          <w:tcPr>
            <w:tcW w:w="1008" w:type="pct"/>
          </w:tcPr>
          <w:p w14:paraId="0C36CC6E"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lastRenderedPageBreak/>
              <w:t>III. ИНЖИНИРИНГ, НАДЗОР И ЯДЕРНЫЙ ЦИКЛ</w:t>
            </w:r>
          </w:p>
        </w:tc>
        <w:tc>
          <w:tcPr>
            <w:tcW w:w="975" w:type="pct"/>
          </w:tcPr>
          <w:p w14:paraId="2D4D5E52"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Обращение с РАО и ОЯТ</w:t>
            </w:r>
          </w:p>
        </w:tc>
        <w:tc>
          <w:tcPr>
            <w:tcW w:w="736" w:type="pct"/>
          </w:tcPr>
          <w:p w14:paraId="0C2838C6"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7E16B441"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Будущий Владелец (U) / Директорат DRNSBS</w:t>
            </w:r>
          </w:p>
        </w:tc>
        <w:tc>
          <w:tcPr>
            <w:tcW w:w="1326" w:type="pct"/>
          </w:tcPr>
          <w:p w14:paraId="480E27E2"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Разработка стратегии и инфраструктуры для </w:t>
            </w:r>
            <w:r>
              <w:rPr>
                <w:rFonts w:ascii="Google Sans Text" w:eastAsia="Google Sans Text" w:hAnsi="Google Sans Text" w:cs="Google Sans Text"/>
                <w:b/>
                <w:color w:val="1B1C1D"/>
              </w:rPr>
              <w:t>хранения и утилизации радиоактивных отходов (РАО)</w:t>
            </w:r>
            <w:r>
              <w:rPr>
                <w:rFonts w:ascii="Google Sans Text" w:eastAsia="Google Sans Text" w:hAnsi="Google Sans Text" w:cs="Google Sans Text"/>
                <w:color w:val="1B1C1D"/>
              </w:rPr>
              <w:t xml:space="preserve"> и отработавшего ядерного топлива (ОЯТ).</w:t>
            </w:r>
          </w:p>
        </w:tc>
      </w:tr>
      <w:tr w:rsidR="0025628C" w14:paraId="41010931" w14:textId="77777777" w:rsidTr="0025628C">
        <w:tc>
          <w:tcPr>
            <w:tcW w:w="1008" w:type="pct"/>
          </w:tcPr>
          <w:p w14:paraId="0C1AE81E"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III. ИНЖИНИРИНГ, НАДЗОР И ЯДЕРНЫЙ ЦИКЛ</w:t>
            </w:r>
          </w:p>
        </w:tc>
        <w:tc>
          <w:tcPr>
            <w:tcW w:w="975" w:type="pct"/>
          </w:tcPr>
          <w:p w14:paraId="7F478D1A"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Экспертиза по площадке и экологии</w:t>
            </w:r>
          </w:p>
        </w:tc>
        <w:tc>
          <w:tcPr>
            <w:tcW w:w="736" w:type="pct"/>
          </w:tcPr>
          <w:p w14:paraId="76FD2636"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68AFEAEA"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Будущий Владелец (U)</w:t>
            </w:r>
          </w:p>
        </w:tc>
        <w:tc>
          <w:tcPr>
            <w:tcW w:w="1326" w:type="pct"/>
          </w:tcPr>
          <w:p w14:paraId="3FD3F23E" w14:textId="77777777" w:rsidR="0025628C" w:rsidRDefault="0025628C">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Инженерно-геологические, сейсмологические исследования. Установление базового (фонового) радиационного состояния и консультации по экологическим решениям (ES).</w:t>
            </w:r>
          </w:p>
        </w:tc>
      </w:tr>
      <w:tr w:rsidR="0025628C" w14:paraId="34989E90" w14:textId="77777777" w:rsidTr="0025628C">
        <w:tc>
          <w:tcPr>
            <w:tcW w:w="1008" w:type="pct"/>
          </w:tcPr>
          <w:p w14:paraId="5FCA8061"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III. ИНЖИНИРИНГ, НАДЗОР И ЯДЕРНЫЙ ЦИКЛ</w:t>
            </w:r>
          </w:p>
        </w:tc>
        <w:tc>
          <w:tcPr>
            <w:tcW w:w="975" w:type="pct"/>
          </w:tcPr>
          <w:p w14:paraId="76ABF26F"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Ввод в эксплуатацию и эксплуатация</w:t>
            </w:r>
          </w:p>
        </w:tc>
        <w:tc>
          <w:tcPr>
            <w:tcW w:w="736" w:type="pct"/>
          </w:tcPr>
          <w:p w14:paraId="3D808D6D" w14:textId="77777777" w:rsidR="0025628C" w:rsidRDefault="0025628C" w:rsidP="007E6B09">
            <w:pPr>
              <w:pBdr>
                <w:top w:val="nil"/>
                <w:left w:val="nil"/>
                <w:bottom w:val="nil"/>
                <w:right w:val="nil"/>
                <w:between w:val="nil"/>
              </w:pBdr>
              <w:spacing w:line="276"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07BE673E" w14:textId="77777777" w:rsidR="0025628C" w:rsidRDefault="0025628C" w:rsidP="007E6B09">
            <w:pPr>
              <w:pBdr>
                <w:top w:val="nil"/>
                <w:left w:val="nil"/>
                <w:bottom w:val="nil"/>
                <w:right w:val="nil"/>
                <w:between w:val="nil"/>
              </w:pBdr>
              <w:spacing w:line="276" w:lineRule="auto"/>
              <w:rPr>
                <w:rFonts w:ascii="Google Sans Text" w:eastAsia="Google Sans Text" w:hAnsi="Google Sans Text" w:cs="Google Sans Text"/>
                <w:b/>
                <w:color w:val="1B1C1D"/>
              </w:rPr>
            </w:pPr>
          </w:p>
        </w:tc>
        <w:tc>
          <w:tcPr>
            <w:tcW w:w="1326" w:type="pct"/>
          </w:tcPr>
          <w:p w14:paraId="2E8B646E" w14:textId="77777777" w:rsidR="0025628C" w:rsidRDefault="0025628C" w:rsidP="007E6B09">
            <w:pPr>
              <w:pBdr>
                <w:top w:val="nil"/>
                <w:left w:val="nil"/>
                <w:bottom w:val="nil"/>
                <w:right w:val="nil"/>
                <w:between w:val="nil"/>
              </w:pBdr>
              <w:spacing w:line="276" w:lineRule="auto"/>
              <w:rPr>
                <w:rFonts w:ascii="Google Sans Text" w:eastAsia="Google Sans Text" w:hAnsi="Google Sans Text" w:cs="Google Sans Text"/>
                <w:b/>
                <w:color w:val="1B1C1D"/>
              </w:rPr>
            </w:pPr>
            <w:r>
              <w:rPr>
                <w:rFonts w:ascii="Google Sans Text" w:eastAsia="Google Sans Text" w:hAnsi="Google Sans Text" w:cs="Google Sans Text"/>
                <w:color w:val="1B1C1D"/>
              </w:rPr>
              <w:t>Независимый анализ процедур ввода в эксплуатацию, ревизия и утверждение руководств по эксплуатации.</w:t>
            </w:r>
          </w:p>
        </w:tc>
      </w:tr>
      <w:tr w:rsidR="0025628C" w14:paraId="4E0A9619" w14:textId="77777777" w:rsidTr="0025628C">
        <w:tc>
          <w:tcPr>
            <w:tcW w:w="1008" w:type="pct"/>
          </w:tcPr>
          <w:p w14:paraId="5E07C28B"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III. ИНЖИНИРИНГ, НАДЗОР И ЯДЕРНЫЙ ЦИКЛ</w:t>
            </w:r>
          </w:p>
        </w:tc>
        <w:tc>
          <w:tcPr>
            <w:tcW w:w="975" w:type="pct"/>
          </w:tcPr>
          <w:p w14:paraId="6ABF2C3B" w14:textId="77777777" w:rsidR="0025628C" w:rsidRDefault="0025628C" w:rsidP="007E6B09">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Топливный цикл и логистика</w:t>
            </w:r>
          </w:p>
        </w:tc>
        <w:tc>
          <w:tcPr>
            <w:tcW w:w="736" w:type="pct"/>
          </w:tcPr>
          <w:p w14:paraId="4310B630" w14:textId="77777777" w:rsidR="0025628C" w:rsidRDefault="0025628C" w:rsidP="007E6B09">
            <w:pPr>
              <w:pBdr>
                <w:top w:val="nil"/>
                <w:left w:val="nil"/>
                <w:bottom w:val="nil"/>
                <w:right w:val="nil"/>
                <w:between w:val="nil"/>
              </w:pBdr>
              <w:spacing w:line="276"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732A38B5" w14:textId="77777777" w:rsidR="0025628C" w:rsidRDefault="0025628C" w:rsidP="007E6B09">
            <w:pPr>
              <w:pBdr>
                <w:top w:val="nil"/>
                <w:left w:val="nil"/>
                <w:bottom w:val="nil"/>
                <w:right w:val="nil"/>
                <w:between w:val="nil"/>
              </w:pBdr>
              <w:spacing w:line="276" w:lineRule="auto"/>
              <w:rPr>
                <w:rFonts w:ascii="Google Sans Text" w:eastAsia="Google Sans Text" w:hAnsi="Google Sans Text" w:cs="Google Sans Text"/>
                <w:b/>
                <w:color w:val="1B1C1D"/>
              </w:rPr>
            </w:pPr>
          </w:p>
        </w:tc>
        <w:tc>
          <w:tcPr>
            <w:tcW w:w="1326" w:type="pct"/>
          </w:tcPr>
          <w:p w14:paraId="35CE7FD3" w14:textId="77777777" w:rsidR="0025628C" w:rsidRDefault="0025628C" w:rsidP="007E6B09">
            <w:pPr>
              <w:pBdr>
                <w:top w:val="nil"/>
                <w:left w:val="nil"/>
                <w:bottom w:val="nil"/>
                <w:right w:val="nil"/>
                <w:between w:val="nil"/>
              </w:pBdr>
              <w:spacing w:line="276" w:lineRule="auto"/>
              <w:rPr>
                <w:rFonts w:ascii="Google Sans Text" w:eastAsia="Google Sans Text" w:hAnsi="Google Sans Text" w:cs="Google Sans Text"/>
                <w:b/>
                <w:color w:val="1B1C1D"/>
              </w:rPr>
            </w:pPr>
            <w:r>
              <w:rPr>
                <w:rFonts w:ascii="Google Sans Text" w:eastAsia="Google Sans Text" w:hAnsi="Google Sans Text" w:cs="Google Sans Text"/>
                <w:color w:val="1B1C1D"/>
              </w:rPr>
              <w:t>Консультации по стратегии поставок ядерного топлива, анализ логистики и обращения с отработавшим топливом.</w:t>
            </w:r>
          </w:p>
        </w:tc>
      </w:tr>
      <w:tr w:rsidR="0025628C" w14:paraId="7BD28C6D" w14:textId="77777777" w:rsidTr="0025628C">
        <w:tc>
          <w:tcPr>
            <w:tcW w:w="1008" w:type="pct"/>
          </w:tcPr>
          <w:p w14:paraId="072D0BC3"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CC13B0">
              <w:rPr>
                <w:rFonts w:ascii="Google Sans Text" w:eastAsia="Google Sans Text" w:hAnsi="Google Sans Text" w:cs="Google Sans Text"/>
                <w:b/>
                <w:color w:val="1B1C1D"/>
              </w:rPr>
              <w:lastRenderedPageBreak/>
              <w:t xml:space="preserve">IV. </w:t>
            </w:r>
            <w:r w:rsidRPr="00CC13B0">
              <w:rPr>
                <w:rFonts w:ascii="Google Sans" w:eastAsia="Google Sans" w:hAnsi="Google Sans" w:cs="Google Sans"/>
                <w:color w:val="1B1C1D"/>
              </w:rPr>
              <w:t>Кадровые и Административные услуги</w:t>
            </w:r>
          </w:p>
        </w:tc>
        <w:tc>
          <w:tcPr>
            <w:tcW w:w="975" w:type="pct"/>
          </w:tcPr>
          <w:p w14:paraId="6628E0AC"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Доступ к экспертной экосистеме</w:t>
            </w:r>
          </w:p>
        </w:tc>
        <w:tc>
          <w:tcPr>
            <w:tcW w:w="736" w:type="pct"/>
          </w:tcPr>
          <w:p w14:paraId="49402676"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NUCON</w:t>
            </w:r>
          </w:p>
        </w:tc>
        <w:tc>
          <w:tcPr>
            <w:tcW w:w="956" w:type="pct"/>
          </w:tcPr>
          <w:p w14:paraId="3D105FFF" w14:textId="0F40F622" w:rsidR="0025628C" w:rsidRDefault="00C7598B"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Генеральный Подрядчик</w:t>
            </w:r>
          </w:p>
        </w:tc>
        <w:tc>
          <w:tcPr>
            <w:tcW w:w="1326" w:type="pct"/>
          </w:tcPr>
          <w:p w14:paraId="383F9F64" w14:textId="77777777" w:rsidR="0025628C" w:rsidRDefault="0025628C" w:rsidP="006514C6">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Предоставление доступа к уникальной экспертизе </w:t>
            </w:r>
            <w:r>
              <w:rPr>
                <w:rFonts w:ascii="Google Sans Text" w:eastAsia="Google Sans Text" w:hAnsi="Google Sans Text" w:cs="Google Sans Text"/>
                <w:b/>
                <w:color w:val="1B1C1D"/>
              </w:rPr>
              <w:t>российских технологий (ВВЭР, Росатом)</w:t>
            </w:r>
            <w:r>
              <w:rPr>
                <w:rFonts w:ascii="Google Sans Text" w:eastAsia="Google Sans Text" w:hAnsi="Google Sans Text" w:cs="Google Sans Text"/>
                <w:color w:val="1B1C1D"/>
              </w:rPr>
              <w:t>.</w:t>
            </w:r>
          </w:p>
        </w:tc>
      </w:tr>
    </w:tbl>
    <w:p w14:paraId="09FF1A09" w14:textId="77777777" w:rsidR="00BC74F4" w:rsidRDefault="00BC74F4" w:rsidP="007E6B09">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p>
    <w:sectPr w:rsidR="00BC74F4" w:rsidSect="006514C6">
      <w:footerReference w:type="even" r:id="rId7"/>
      <w:footerReference w:type="default" r:id="rId8"/>
      <w:pgSz w:w="15840" w:h="12240" w:orient="landscape"/>
      <w:pgMar w:top="1080" w:right="1440" w:bottom="108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BF45F" w14:textId="77777777" w:rsidR="00AF7E91" w:rsidRDefault="00AF7E91" w:rsidP="00DB2E0A">
      <w:r>
        <w:separator/>
      </w:r>
    </w:p>
  </w:endnote>
  <w:endnote w:type="continuationSeparator" w:id="0">
    <w:p w14:paraId="62A94D1D" w14:textId="77777777" w:rsidR="00AF7E91" w:rsidRDefault="00AF7E91" w:rsidP="00DB2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93FFFE2-8CE4-4849-81F8-C1F8544679FA}"/>
    <w:embedBold r:id="rId2" w:fontKey="{A6DA4E6A-F6D9-A745-8903-16C2F37A26C6}"/>
  </w:font>
  <w:font w:name="Times New Roman">
    <w:panose1 w:val="02020603050405020304"/>
    <w:charset w:val="00"/>
    <w:family w:val="roman"/>
    <w:pitch w:val="variable"/>
    <w:sig w:usb0="E0002EFF" w:usb1="C000785B" w:usb2="00000009" w:usb3="00000000" w:csb0="000001FF" w:csb1="00000000"/>
    <w:embedRegular r:id="rId3" w:fontKey="{DF68E09D-74B3-8340-A3B3-ABA92742FE39}"/>
    <w:embedItalic r:id="rId4" w:fontKey="{47AD4E1A-E50F-0F47-9C0A-1C05D703F908}"/>
  </w:font>
  <w:font w:name="Georgia">
    <w:panose1 w:val="02040502050405020303"/>
    <w:charset w:val="00"/>
    <w:family w:val="roman"/>
    <w:pitch w:val="variable"/>
    <w:sig w:usb0="00000287" w:usb1="00000000" w:usb2="00000000" w:usb3="00000000" w:csb0="0000009F" w:csb1="00000000"/>
    <w:embedRegular r:id="rId5" w:fontKey="{F1FA9CB9-26BA-C548-80B2-C1ECCFE45722}"/>
    <w:embedItalic r:id="rId6" w:fontKey="{12DE5043-4C3F-BE4E-AFE8-BF3982FDEA4A}"/>
  </w:font>
  <w:font w:name="Google Sans">
    <w:altName w:val="Calibri"/>
    <w:panose1 w:val="020B0604020202020204"/>
    <w:charset w:val="00"/>
    <w:family w:val="auto"/>
    <w:pitch w:val="default"/>
    <w:embedRegular r:id="rId7" w:fontKey="{0A29178D-BCDC-4445-A0CD-DFDD6AE98110}"/>
    <w:embedBold r:id="rId8" w:fontKey="{980D3584-E646-4F4B-87D3-AEC5654B212E}"/>
  </w:font>
  <w:font w:name="Google Sans Text">
    <w:altName w:val="Calibri"/>
    <w:panose1 w:val="020B0604020202020204"/>
    <w:charset w:val="00"/>
    <w:family w:val="auto"/>
    <w:pitch w:val="default"/>
    <w:embedRegular r:id="rId9" w:fontKey="{B52C8F37-5194-4B4E-85F2-2CBBA835BF81}"/>
    <w:embedBold r:id="rId10" w:fontKey="{E45CC497-785B-3242-8E18-DC2D2D148C9C}"/>
  </w:font>
  <w:font w:name="Calibri Light">
    <w:panose1 w:val="020F0302020204030204"/>
    <w:charset w:val="00"/>
    <w:family w:val="swiss"/>
    <w:pitch w:val="variable"/>
    <w:sig w:usb0="E0002AFF" w:usb1="C000247B" w:usb2="00000009" w:usb3="00000000" w:csb0="000001FF" w:csb1="00000000"/>
    <w:embedRegular r:id="rId11" w:fontKey="{39CC349B-4DCA-4442-9642-B32746C220CF}"/>
  </w:font>
  <w:font w:name="Calibri">
    <w:panose1 w:val="020F0502020204030204"/>
    <w:charset w:val="00"/>
    <w:family w:val="swiss"/>
    <w:pitch w:val="variable"/>
    <w:sig w:usb0="E4002EFF" w:usb1="C200247B" w:usb2="00000009" w:usb3="00000000" w:csb0="000001FF" w:csb1="00000000"/>
    <w:embedRegular r:id="rId12" w:fontKey="{AFE8485C-4B13-D64E-8BBD-A4D804581FFE}"/>
  </w:font>
  <w:font w:name="Cambria">
    <w:panose1 w:val="02040503050406030204"/>
    <w:charset w:val="00"/>
    <w:family w:val="roman"/>
    <w:pitch w:val="variable"/>
    <w:sig w:usb0="E00006FF" w:usb1="420024FF" w:usb2="02000000" w:usb3="00000000" w:csb0="0000019F" w:csb1="00000000"/>
    <w:embedRegular r:id="rId13" w:fontKey="{2BCDAA3C-D344-F547-B3FA-1CB46DBA14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811834372"/>
      <w:docPartObj>
        <w:docPartGallery w:val="Page Numbers (Bottom of Page)"/>
        <w:docPartUnique/>
      </w:docPartObj>
    </w:sdtPr>
    <w:sdtContent>
      <w:p w14:paraId="2441D2A6" w14:textId="4C774F81" w:rsidR="00DB2E0A" w:rsidRDefault="00DB2E0A"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3AB6AD44" w14:textId="77777777" w:rsidR="00DB2E0A" w:rsidRDefault="00DB2E0A" w:rsidP="00DB2E0A">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381429882"/>
      <w:docPartObj>
        <w:docPartGallery w:val="Page Numbers (Bottom of Page)"/>
        <w:docPartUnique/>
      </w:docPartObj>
    </w:sdtPr>
    <w:sdtContent>
      <w:p w14:paraId="54A7E031" w14:textId="4CFA7EE4" w:rsidR="00DB2E0A" w:rsidRDefault="00DB2E0A"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3ED02362" w14:textId="77777777" w:rsidR="00DB2E0A" w:rsidRPr="00177B08" w:rsidRDefault="00DB2E0A" w:rsidP="00DB2E0A">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6748A6FF" w14:textId="3AFD8D25" w:rsidR="00DB2E0A" w:rsidRPr="003252E5" w:rsidRDefault="00DB2E0A" w:rsidP="00DB2E0A">
    <w:pPr>
      <w:pStyle w:val="ab"/>
      <w:ind w:right="360"/>
      <w:rPr>
        <w:lang w:val="en-US"/>
      </w:rPr>
    </w:pPr>
    <w:r w:rsidRPr="00177B08">
      <w:rPr>
        <w:rFonts w:ascii="Calibri Light" w:eastAsia="Times New Roman" w:hAnsi="Calibri Light" w:cs="Calibri Light"/>
        <w:sz w:val="16"/>
        <w:szCs w:val="16"/>
        <w:lang w:val="en-US"/>
      </w:rPr>
      <w:t xml:space="preserve">© Copyright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xml:space="preserve"> (</w:t>
    </w:r>
    <w:r>
      <w:rPr>
        <w:rFonts w:ascii="Calibri Light" w:eastAsia="Times New Roman" w:hAnsi="Calibri Light" w:cs="Calibri Light"/>
        <w:sz w:val="16"/>
        <w:szCs w:val="16"/>
        <w:lang w:val="en-US"/>
      </w:rPr>
      <w:t>Beograd</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496E4" w14:textId="77777777" w:rsidR="00AF7E91" w:rsidRDefault="00AF7E91" w:rsidP="00DB2E0A">
      <w:r>
        <w:separator/>
      </w:r>
    </w:p>
  </w:footnote>
  <w:footnote w:type="continuationSeparator" w:id="0">
    <w:p w14:paraId="4D0873D0" w14:textId="77777777" w:rsidR="00AF7E91" w:rsidRDefault="00AF7E91" w:rsidP="00DB2E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4F4"/>
    <w:rsid w:val="0025628C"/>
    <w:rsid w:val="002D591C"/>
    <w:rsid w:val="003252E5"/>
    <w:rsid w:val="00332176"/>
    <w:rsid w:val="00454F0C"/>
    <w:rsid w:val="004E28FB"/>
    <w:rsid w:val="00564515"/>
    <w:rsid w:val="00603180"/>
    <w:rsid w:val="006356DC"/>
    <w:rsid w:val="006514C6"/>
    <w:rsid w:val="007E6B09"/>
    <w:rsid w:val="008514C5"/>
    <w:rsid w:val="00AF7E91"/>
    <w:rsid w:val="00BC74F4"/>
    <w:rsid w:val="00C7598B"/>
    <w:rsid w:val="00DA3DE5"/>
    <w:rsid w:val="00DB2E0A"/>
    <w:rsid w:val="00DC786C"/>
    <w:rsid w:val="00E039D4"/>
    <w:rsid w:val="00FF5598"/>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D499C"/>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rsid w:val="00DA3DE5"/>
    <w:pPr>
      <w:pBdr>
        <w:top w:val="nil"/>
        <w:left w:val="nil"/>
        <w:bottom w:val="nil"/>
        <w:right w:val="nil"/>
        <w:between w:val="nil"/>
      </w:pBdr>
      <w:spacing w:before="225" w:after="225"/>
      <w:outlineLvl w:val="1"/>
    </w:pPr>
    <w:rPr>
      <w:b/>
      <w:sz w:val="32"/>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a7">
    <w:name w:val="Emphasis"/>
    <w:basedOn w:val="a0"/>
    <w:uiPriority w:val="20"/>
    <w:qFormat/>
    <w:rsid w:val="00DA3DE5"/>
    <w:rPr>
      <w:i/>
      <w:iCs/>
    </w:rPr>
  </w:style>
  <w:style w:type="table" w:styleId="a8">
    <w:name w:val="Table Grid"/>
    <w:basedOn w:val="a1"/>
    <w:uiPriority w:val="39"/>
    <w:rsid w:val="00DB2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B2E0A"/>
    <w:pPr>
      <w:tabs>
        <w:tab w:val="center" w:pos="4513"/>
        <w:tab w:val="right" w:pos="9026"/>
      </w:tabs>
    </w:pPr>
  </w:style>
  <w:style w:type="character" w:customStyle="1" w:styleId="aa">
    <w:name w:val="Верхний колонтитул Знак"/>
    <w:basedOn w:val="a0"/>
    <w:link w:val="a9"/>
    <w:uiPriority w:val="99"/>
    <w:rsid w:val="00DB2E0A"/>
  </w:style>
  <w:style w:type="paragraph" w:styleId="ab">
    <w:name w:val="footer"/>
    <w:basedOn w:val="a"/>
    <w:link w:val="ac"/>
    <w:uiPriority w:val="99"/>
    <w:unhideWhenUsed/>
    <w:rsid w:val="00DB2E0A"/>
    <w:pPr>
      <w:tabs>
        <w:tab w:val="center" w:pos="4513"/>
        <w:tab w:val="right" w:pos="9026"/>
      </w:tabs>
    </w:pPr>
  </w:style>
  <w:style w:type="character" w:customStyle="1" w:styleId="ac">
    <w:name w:val="Нижний колонтитул Знак"/>
    <w:basedOn w:val="a0"/>
    <w:link w:val="ab"/>
    <w:uiPriority w:val="99"/>
    <w:rsid w:val="00DB2E0A"/>
  </w:style>
  <w:style w:type="character" w:styleId="ad">
    <w:name w:val="page number"/>
    <w:basedOn w:val="a0"/>
    <w:uiPriority w:val="99"/>
    <w:semiHidden/>
    <w:unhideWhenUsed/>
    <w:rsid w:val="00DB2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1005</Words>
  <Characters>5733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2025-12-10T18:55:00Z</dcterms:created>
  <dcterms:modified xsi:type="dcterms:W3CDTF">2025-12-10T18:55:00Z</dcterms:modified>
</cp:coreProperties>
</file>